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F99" w:rsidRPr="005F51A1" w:rsidRDefault="006A71CC" w:rsidP="001C5307">
      <w:pPr>
        <w:spacing w:after="0"/>
        <w:jc w:val="center"/>
        <w:rPr>
          <w:rFonts w:ascii="Palatino Linotype" w:hAnsi="Palatino Linotype"/>
          <w:b/>
          <w:color w:val="C00000"/>
          <w:sz w:val="24"/>
          <w:szCs w:val="26"/>
        </w:rPr>
      </w:pPr>
      <w:r w:rsidRPr="005F51A1">
        <w:rPr>
          <w:rFonts w:ascii="Palatino Linotype" w:hAnsi="Palatino Linotype"/>
          <w:b/>
          <w:color w:val="C00000"/>
          <w:sz w:val="24"/>
          <w:szCs w:val="26"/>
        </w:rPr>
        <w:t>PennDesign</w:t>
      </w:r>
    </w:p>
    <w:p w:rsidR="002606B0" w:rsidRPr="00F308B5" w:rsidRDefault="0062487B" w:rsidP="002A4D7F">
      <w:pPr>
        <w:spacing w:after="0"/>
        <w:jc w:val="center"/>
        <w:rPr>
          <w:rFonts w:ascii="Palatino Linotype" w:hAnsi="Palatino Linotype"/>
          <w:b/>
          <w:color w:val="1F3864" w:themeColor="accent5" w:themeShade="80"/>
          <w:sz w:val="28"/>
          <w:szCs w:val="18"/>
        </w:rPr>
      </w:pPr>
      <w:r w:rsidRPr="00F308B5">
        <w:rPr>
          <w:rFonts w:ascii="Palatino Linotype" w:hAnsi="Palatino Linotype"/>
          <w:b/>
          <w:color w:val="1F3864" w:themeColor="accent5" w:themeShade="80"/>
          <w:sz w:val="28"/>
          <w:szCs w:val="18"/>
        </w:rPr>
        <w:t xml:space="preserve">Guide to </w:t>
      </w:r>
      <w:r w:rsidR="002A4D7F" w:rsidRPr="00F308B5">
        <w:rPr>
          <w:rFonts w:ascii="Palatino Linotype" w:hAnsi="Palatino Linotype"/>
          <w:b/>
          <w:color w:val="1F3864" w:themeColor="accent5" w:themeShade="80"/>
          <w:sz w:val="28"/>
          <w:szCs w:val="18"/>
        </w:rPr>
        <w:t xml:space="preserve">Individual </w:t>
      </w:r>
      <w:r w:rsidRPr="00F308B5">
        <w:rPr>
          <w:rFonts w:ascii="Palatino Linotype" w:hAnsi="Palatino Linotype"/>
          <w:b/>
          <w:color w:val="1F3864" w:themeColor="accent5" w:themeShade="80"/>
          <w:sz w:val="28"/>
          <w:szCs w:val="18"/>
        </w:rPr>
        <w:t>Payment</w:t>
      </w:r>
      <w:r w:rsidR="00750C3A" w:rsidRPr="00F308B5">
        <w:rPr>
          <w:rFonts w:ascii="Palatino Linotype" w:hAnsi="Palatino Linotype"/>
          <w:b/>
          <w:color w:val="1F3864" w:themeColor="accent5" w:themeShade="80"/>
          <w:sz w:val="28"/>
          <w:szCs w:val="18"/>
        </w:rPr>
        <w:t xml:space="preserve"> </w:t>
      </w:r>
      <w:r w:rsidR="001C5307" w:rsidRPr="00F308B5">
        <w:rPr>
          <w:rFonts w:ascii="Palatino Linotype" w:hAnsi="Palatino Linotype"/>
          <w:b/>
          <w:color w:val="1F3864" w:themeColor="accent5" w:themeShade="80"/>
          <w:sz w:val="28"/>
          <w:szCs w:val="18"/>
        </w:rPr>
        <w:t>Types</w:t>
      </w:r>
    </w:p>
    <w:p w:rsidR="006A71CC" w:rsidRPr="00A87F25" w:rsidRDefault="00147F99" w:rsidP="001C5307">
      <w:pPr>
        <w:spacing w:after="0"/>
        <w:jc w:val="center"/>
        <w:rPr>
          <w:rFonts w:ascii="Palatino Linotype" w:hAnsi="Palatino Linotype"/>
          <w:b/>
          <w:i/>
          <w:color w:val="C00000"/>
          <w:sz w:val="20"/>
          <w:szCs w:val="16"/>
        </w:rPr>
      </w:pPr>
      <w:r w:rsidRPr="00A87F25">
        <w:rPr>
          <w:rFonts w:ascii="Palatino Linotype" w:hAnsi="Palatino Linotype"/>
          <w:b/>
          <w:i/>
          <w:color w:val="C00000"/>
          <w:sz w:val="20"/>
          <w:szCs w:val="16"/>
        </w:rPr>
        <w:t xml:space="preserve">Effective </w:t>
      </w:r>
      <w:r w:rsidR="003674B6">
        <w:rPr>
          <w:rFonts w:ascii="Palatino Linotype" w:hAnsi="Palatino Linotype"/>
          <w:b/>
          <w:i/>
          <w:color w:val="C00000"/>
          <w:sz w:val="20"/>
          <w:szCs w:val="16"/>
        </w:rPr>
        <w:t>August 20</w:t>
      </w:r>
      <w:r w:rsidR="001C5307" w:rsidRPr="00A87F25">
        <w:rPr>
          <w:rFonts w:ascii="Palatino Linotype" w:hAnsi="Palatino Linotype"/>
          <w:b/>
          <w:i/>
          <w:color w:val="C00000"/>
          <w:sz w:val="20"/>
          <w:szCs w:val="16"/>
        </w:rPr>
        <w:t>, 20</w:t>
      </w:r>
      <w:r w:rsidR="00F308B5" w:rsidRPr="00A87F25">
        <w:rPr>
          <w:rFonts w:ascii="Palatino Linotype" w:hAnsi="Palatino Linotype"/>
          <w:b/>
          <w:i/>
          <w:color w:val="C00000"/>
          <w:sz w:val="20"/>
          <w:szCs w:val="16"/>
        </w:rPr>
        <w:t>1</w:t>
      </w:r>
      <w:r w:rsidR="001C5307" w:rsidRPr="00A87F25">
        <w:rPr>
          <w:rFonts w:ascii="Palatino Linotype" w:hAnsi="Palatino Linotype"/>
          <w:b/>
          <w:i/>
          <w:color w:val="C00000"/>
          <w:sz w:val="20"/>
          <w:szCs w:val="16"/>
        </w:rPr>
        <w:t>8</w:t>
      </w:r>
    </w:p>
    <w:p w:rsidR="001C5307" w:rsidRPr="001C5307" w:rsidRDefault="001C5307" w:rsidP="001C5307">
      <w:pPr>
        <w:spacing w:after="0"/>
        <w:jc w:val="center"/>
        <w:rPr>
          <w:rFonts w:ascii="Palatino Linotype" w:hAnsi="Palatino Linotype"/>
          <w:color w:val="FF0000"/>
          <w:sz w:val="12"/>
        </w:rPr>
      </w:pPr>
    </w:p>
    <w:tbl>
      <w:tblPr>
        <w:tblStyle w:val="TableGrid"/>
        <w:tblW w:w="10800" w:type="dxa"/>
        <w:tblInd w:w="-725" w:type="dxa"/>
        <w:tblLayout w:type="fixed"/>
        <w:tblLook w:val="04A0" w:firstRow="1" w:lastRow="0" w:firstColumn="1" w:lastColumn="0" w:noHBand="0" w:noVBand="1"/>
      </w:tblPr>
      <w:tblGrid>
        <w:gridCol w:w="5572"/>
        <w:gridCol w:w="5228"/>
      </w:tblGrid>
      <w:tr w:rsidR="006F1138" w:rsidTr="003674B6">
        <w:trPr>
          <w:trHeight w:val="4851"/>
        </w:trPr>
        <w:tc>
          <w:tcPr>
            <w:tcW w:w="5572" w:type="dxa"/>
          </w:tcPr>
          <w:p w:rsidR="006F1138" w:rsidRPr="001A00F1" w:rsidRDefault="0083337D" w:rsidP="00F130DD">
            <w:pPr>
              <w:jc w:val="center"/>
              <w:rPr>
                <w:rFonts w:ascii="Palatino Linotype" w:hAnsi="Palatino Linotype"/>
                <w:color w:val="2F5496" w:themeColor="accent5" w:themeShade="BF"/>
                <w:sz w:val="24"/>
                <w:szCs w:val="18"/>
              </w:rPr>
            </w:pPr>
            <w:r w:rsidRPr="001A00F1">
              <w:rPr>
                <w:rFonts w:ascii="Palatino Linotype" w:hAnsi="Palatino Linotype"/>
                <w:b/>
                <w:color w:val="2F5496" w:themeColor="accent5" w:themeShade="BF"/>
                <w:sz w:val="24"/>
                <w:szCs w:val="18"/>
              </w:rPr>
              <w:t>Independent Contractor (IC)</w:t>
            </w:r>
          </w:p>
          <w:p w:rsidR="0083337D" w:rsidRPr="005F51A1" w:rsidRDefault="0083337D" w:rsidP="00F130DD">
            <w:pPr>
              <w:jc w:val="center"/>
              <w:rPr>
                <w:rFonts w:ascii="Palatino Linotype" w:hAnsi="Palatino Linotype"/>
                <w:color w:val="2F5496" w:themeColor="accent5" w:themeShade="BF"/>
                <w:sz w:val="20"/>
                <w:szCs w:val="18"/>
              </w:rPr>
            </w:pPr>
            <w:r w:rsidRPr="005F51A1">
              <w:rPr>
                <w:rFonts w:ascii="Palatino Linotype" w:hAnsi="Palatino Linotype"/>
                <w:color w:val="2F5496" w:themeColor="accent5" w:themeShade="BF"/>
                <w:sz w:val="20"/>
                <w:szCs w:val="18"/>
              </w:rPr>
              <w:t>Independent Service Provider (ISP)</w:t>
            </w:r>
          </w:p>
          <w:p w:rsidR="006562EF" w:rsidRPr="005F51A1" w:rsidRDefault="006562EF" w:rsidP="006562EF">
            <w:pPr>
              <w:jc w:val="center"/>
              <w:rPr>
                <w:rFonts w:ascii="Palatino Linotype" w:hAnsi="Palatino Linotype"/>
                <w:color w:val="2F5496" w:themeColor="accent5" w:themeShade="BF"/>
                <w:sz w:val="20"/>
                <w:szCs w:val="18"/>
              </w:rPr>
            </w:pPr>
            <w:r w:rsidRPr="005F51A1">
              <w:rPr>
                <w:rFonts w:ascii="Palatino Linotype" w:hAnsi="Palatino Linotype"/>
                <w:color w:val="2F5496" w:themeColor="accent5" w:themeShade="BF"/>
                <w:sz w:val="20"/>
                <w:szCs w:val="18"/>
              </w:rPr>
              <w:t xml:space="preserve">Object Code: </w:t>
            </w:r>
            <w:r w:rsidRPr="005F51A1">
              <w:rPr>
                <w:rFonts w:ascii="Palatino Linotype" w:hAnsi="Palatino Linotype"/>
                <w:b/>
                <w:color w:val="2F5496" w:themeColor="accent5" w:themeShade="BF"/>
                <w:sz w:val="20"/>
                <w:szCs w:val="18"/>
              </w:rPr>
              <w:t>5319</w:t>
            </w:r>
          </w:p>
          <w:p w:rsidR="00F130DD" w:rsidRPr="005F51A1" w:rsidRDefault="00F130DD" w:rsidP="00EF32EC">
            <w:pPr>
              <w:rPr>
                <w:rFonts w:ascii="Palatino Linotype" w:hAnsi="Palatino Linotype"/>
                <w:color w:val="2F5496" w:themeColor="accent5" w:themeShade="BF"/>
                <w:sz w:val="12"/>
                <w:szCs w:val="18"/>
              </w:rPr>
            </w:pPr>
          </w:p>
          <w:p w:rsidR="008858B0" w:rsidRPr="001A00F1" w:rsidRDefault="00A973A4" w:rsidP="008858B0">
            <w:pPr>
              <w:rPr>
                <w:rFonts w:ascii="Palatino Linotype" w:hAnsi="Palatino Linotype"/>
                <w:color w:val="2F5496" w:themeColor="accent5" w:themeShade="BF"/>
                <w:sz w:val="20"/>
                <w:szCs w:val="18"/>
              </w:rPr>
            </w:pPr>
            <w:r w:rsidRPr="001A00F1">
              <w:rPr>
                <w:rFonts w:ascii="Palatino Linotype" w:hAnsi="Palatino Linotype"/>
                <w:b/>
                <w:color w:val="2F5496" w:themeColor="accent5" w:themeShade="BF"/>
                <w:sz w:val="20"/>
                <w:szCs w:val="18"/>
              </w:rPr>
              <w:t>Description</w:t>
            </w:r>
            <w:r w:rsidR="007A2AFA" w:rsidRPr="001A00F1">
              <w:rPr>
                <w:rFonts w:ascii="Palatino Linotype" w:hAnsi="Palatino Linotype"/>
                <w:b/>
                <w:color w:val="2F5496" w:themeColor="accent5" w:themeShade="BF"/>
                <w:sz w:val="20"/>
                <w:szCs w:val="18"/>
              </w:rPr>
              <w:t>:</w:t>
            </w:r>
            <w:r w:rsidR="006B27B7" w:rsidRPr="001A00F1">
              <w:rPr>
                <w:rFonts w:ascii="Palatino Linotype" w:hAnsi="Palatino Linotype"/>
                <w:b/>
                <w:color w:val="2F5496" w:themeColor="accent5" w:themeShade="BF"/>
                <w:sz w:val="20"/>
                <w:szCs w:val="18"/>
              </w:rPr>
              <w:t xml:space="preserve"> </w:t>
            </w:r>
            <w:r w:rsidR="006B27B7" w:rsidRPr="00761F18">
              <w:rPr>
                <w:rFonts w:ascii="Palatino Linotype" w:hAnsi="Palatino Linotype"/>
                <w:b/>
                <w:color w:val="2F5496" w:themeColor="accent5" w:themeShade="BF"/>
                <w:sz w:val="20"/>
                <w:szCs w:val="18"/>
              </w:rPr>
              <w:t xml:space="preserve">External </w:t>
            </w:r>
            <w:r w:rsidR="008858B0" w:rsidRPr="00761F18">
              <w:rPr>
                <w:rFonts w:ascii="Palatino Linotype" w:hAnsi="Palatino Linotype"/>
                <w:b/>
                <w:color w:val="2F5496" w:themeColor="accent5" w:themeShade="BF"/>
                <w:sz w:val="20"/>
                <w:szCs w:val="18"/>
              </w:rPr>
              <w:t xml:space="preserve">Other Professional </w:t>
            </w:r>
            <w:r w:rsidR="00AF3241" w:rsidRPr="00761F18">
              <w:rPr>
                <w:rFonts w:ascii="Palatino Linotype" w:hAnsi="Palatino Linotype"/>
                <w:b/>
                <w:color w:val="2F5496" w:themeColor="accent5" w:themeShade="BF"/>
                <w:sz w:val="20"/>
                <w:szCs w:val="18"/>
              </w:rPr>
              <w:t>Services</w:t>
            </w:r>
            <w:r w:rsidR="00761F18">
              <w:rPr>
                <w:rFonts w:ascii="Palatino Linotype" w:hAnsi="Palatino Linotype"/>
                <w:color w:val="2F5496" w:themeColor="accent5" w:themeShade="BF"/>
                <w:sz w:val="20"/>
                <w:szCs w:val="18"/>
              </w:rPr>
              <w:t xml:space="preserve"> </w:t>
            </w:r>
            <w:r w:rsidR="008858B0" w:rsidRPr="001A00F1">
              <w:rPr>
                <w:rFonts w:ascii="Palatino Linotype" w:hAnsi="Palatino Linotype"/>
                <w:color w:val="2F5496" w:themeColor="accent5" w:themeShade="BF"/>
                <w:sz w:val="20"/>
                <w:szCs w:val="18"/>
              </w:rPr>
              <w:t xml:space="preserve">Payments to individuals for services not specifically identified elsewhere, (e.g., skilled labor for a specified task, independent contractors, etc.). </w:t>
            </w:r>
          </w:p>
          <w:p w:rsidR="00F308B5" w:rsidRPr="00A87F25" w:rsidRDefault="00F308B5" w:rsidP="007A2AFA">
            <w:pPr>
              <w:rPr>
                <w:rFonts w:ascii="Palatino Linotype" w:hAnsi="Palatino Linotype"/>
                <w:b/>
                <w:color w:val="2F5496" w:themeColor="accent5" w:themeShade="BF"/>
                <w:sz w:val="12"/>
                <w:szCs w:val="18"/>
              </w:rPr>
            </w:pPr>
          </w:p>
          <w:p w:rsidR="007A2AFA" w:rsidRPr="001A00F1" w:rsidRDefault="001A00F1" w:rsidP="007A2AFA">
            <w:pPr>
              <w:rPr>
                <w:rFonts w:ascii="Palatino Linotype" w:hAnsi="Palatino Linotype"/>
                <w:color w:val="2F5496" w:themeColor="accent5" w:themeShade="BF"/>
                <w:sz w:val="20"/>
                <w:szCs w:val="18"/>
              </w:rPr>
            </w:pPr>
            <w:r>
              <w:rPr>
                <w:rFonts w:ascii="Palatino Linotype" w:hAnsi="Palatino Linotype"/>
                <w:b/>
                <w:color w:val="2F5496" w:themeColor="accent5" w:themeShade="BF"/>
                <w:sz w:val="20"/>
                <w:szCs w:val="18"/>
              </w:rPr>
              <w:t>Approved U</w:t>
            </w:r>
            <w:r w:rsidR="007A2AFA" w:rsidRPr="001A00F1">
              <w:rPr>
                <w:rFonts w:ascii="Palatino Linotype" w:hAnsi="Palatino Linotype"/>
                <w:b/>
                <w:color w:val="2F5496" w:themeColor="accent5" w:themeShade="BF"/>
                <w:sz w:val="20"/>
                <w:szCs w:val="18"/>
              </w:rPr>
              <w:t>se:</w:t>
            </w:r>
            <w:r w:rsidR="00DB6F26" w:rsidRPr="001A00F1">
              <w:rPr>
                <w:rFonts w:ascii="Palatino Linotype" w:hAnsi="Palatino Linotype"/>
                <w:b/>
                <w:color w:val="2F5496" w:themeColor="accent5" w:themeShade="BF"/>
                <w:sz w:val="20"/>
                <w:szCs w:val="18"/>
              </w:rPr>
              <w:t xml:space="preserve"> </w:t>
            </w:r>
            <w:r w:rsidR="00DB6F26" w:rsidRPr="001A00F1">
              <w:rPr>
                <w:rFonts w:ascii="Palatino Linotype" w:hAnsi="Palatino Linotype"/>
                <w:color w:val="2F5496" w:themeColor="accent5" w:themeShade="BF"/>
                <w:sz w:val="20"/>
                <w:szCs w:val="18"/>
              </w:rPr>
              <w:t>For this payment type-please consult with the finance office prior to entering an agreement or allowing services to commence. All IC must be approved for payment and registered as purchase order vendors by Penn Purchasing</w:t>
            </w:r>
            <w:r w:rsidR="001C5307" w:rsidRPr="001A00F1">
              <w:rPr>
                <w:rFonts w:ascii="Palatino Linotype" w:hAnsi="Palatino Linotype"/>
                <w:color w:val="2F5496" w:themeColor="accent5" w:themeShade="BF"/>
                <w:sz w:val="20"/>
                <w:szCs w:val="18"/>
              </w:rPr>
              <w:t xml:space="preserve">, </w:t>
            </w:r>
            <w:r w:rsidR="00A87F25">
              <w:rPr>
                <w:rFonts w:ascii="Palatino Linotype" w:hAnsi="Palatino Linotype"/>
                <w:color w:val="2F5496" w:themeColor="accent5" w:themeShade="BF"/>
                <w:sz w:val="20"/>
                <w:szCs w:val="18"/>
              </w:rPr>
              <w:t>th</w:t>
            </w:r>
            <w:r w:rsidR="00DB6F26" w:rsidRPr="001A00F1">
              <w:rPr>
                <w:rFonts w:ascii="Palatino Linotype" w:hAnsi="Palatino Linotype"/>
                <w:color w:val="2F5496" w:themeColor="accent5" w:themeShade="BF"/>
                <w:sz w:val="20"/>
                <w:szCs w:val="18"/>
              </w:rPr>
              <w:t>ere are restrictions regarding international IC that may affect their ability to receive payment</w:t>
            </w:r>
            <w:r w:rsidR="001C5307" w:rsidRPr="001A00F1">
              <w:rPr>
                <w:rFonts w:ascii="Palatino Linotype" w:hAnsi="Palatino Linotype"/>
                <w:color w:val="2F5496" w:themeColor="accent5" w:themeShade="BF"/>
                <w:sz w:val="20"/>
                <w:szCs w:val="18"/>
              </w:rPr>
              <w:t>.</w:t>
            </w:r>
          </w:p>
          <w:p w:rsidR="00F308B5" w:rsidRPr="00A87F25" w:rsidRDefault="00F308B5" w:rsidP="007A2AFA">
            <w:pPr>
              <w:rPr>
                <w:rFonts w:ascii="Palatino Linotype" w:hAnsi="Palatino Linotype"/>
                <w:b/>
                <w:color w:val="2F5496" w:themeColor="accent5" w:themeShade="BF"/>
                <w:sz w:val="12"/>
                <w:szCs w:val="18"/>
              </w:rPr>
            </w:pPr>
          </w:p>
          <w:p w:rsidR="00C429FD" w:rsidRPr="001A00F1" w:rsidRDefault="001A00F1" w:rsidP="007A2AFA">
            <w:pPr>
              <w:rPr>
                <w:rFonts w:ascii="Palatino Linotype" w:hAnsi="Palatino Linotype"/>
                <w:color w:val="2F5496" w:themeColor="accent5" w:themeShade="BF"/>
                <w:sz w:val="20"/>
                <w:szCs w:val="20"/>
              </w:rPr>
            </w:pPr>
            <w:r>
              <w:rPr>
                <w:rFonts w:ascii="Palatino Linotype" w:hAnsi="Palatino Linotype"/>
                <w:b/>
                <w:color w:val="2F5496" w:themeColor="accent5" w:themeShade="BF"/>
                <w:sz w:val="20"/>
                <w:szCs w:val="20"/>
              </w:rPr>
              <w:t>Additional I</w:t>
            </w:r>
            <w:r w:rsidR="007A2AFA" w:rsidRPr="001A00F1">
              <w:rPr>
                <w:rFonts w:ascii="Palatino Linotype" w:hAnsi="Palatino Linotype"/>
                <w:b/>
                <w:color w:val="2F5496" w:themeColor="accent5" w:themeShade="BF"/>
                <w:sz w:val="20"/>
                <w:szCs w:val="20"/>
              </w:rPr>
              <w:t>nformation</w:t>
            </w:r>
            <w:r w:rsidR="007A2AFA" w:rsidRPr="001A00F1">
              <w:rPr>
                <w:rFonts w:ascii="Palatino Linotype" w:hAnsi="Palatino Linotype"/>
                <w:color w:val="2F5496" w:themeColor="accent5" w:themeShade="BF"/>
                <w:sz w:val="20"/>
                <w:szCs w:val="20"/>
              </w:rPr>
              <w:t>:</w:t>
            </w:r>
          </w:p>
          <w:p w:rsidR="00CA3D4B" w:rsidRPr="001A00F1" w:rsidRDefault="00CA3D4B" w:rsidP="001A00F1">
            <w:pPr>
              <w:pStyle w:val="ListParagraph"/>
              <w:numPr>
                <w:ilvl w:val="0"/>
                <w:numId w:val="4"/>
              </w:numPr>
              <w:ind w:left="504"/>
              <w:rPr>
                <w:rFonts w:ascii="Palatino Linotype" w:hAnsi="Palatino Linotype"/>
                <w:color w:val="2F5496" w:themeColor="accent5" w:themeShade="BF"/>
                <w:sz w:val="20"/>
                <w:szCs w:val="20"/>
              </w:rPr>
            </w:pPr>
            <w:r w:rsidRPr="001A00F1">
              <w:rPr>
                <w:rFonts w:ascii="Palatino Linotype" w:hAnsi="Palatino Linotype"/>
                <w:color w:val="2F5496" w:themeColor="accent5" w:themeShade="BF"/>
                <w:sz w:val="20"/>
                <w:szCs w:val="20"/>
              </w:rPr>
              <w:t xml:space="preserve">Please refer to the </w:t>
            </w:r>
            <w:hyperlink r:id="rId6" w:history="1">
              <w:r w:rsidRPr="001A00F1">
                <w:rPr>
                  <w:rStyle w:val="Hyperlink"/>
                  <w:rFonts w:ascii="Palatino Linotype" w:hAnsi="Palatino Linotype"/>
                  <w:color w:val="2F5496" w:themeColor="accent5" w:themeShade="BF"/>
                  <w:sz w:val="20"/>
                  <w:szCs w:val="20"/>
                </w:rPr>
                <w:t>Independent Contractor  Guide</w:t>
              </w:r>
            </w:hyperlink>
            <w:r w:rsidRPr="001A00F1">
              <w:rPr>
                <w:rFonts w:ascii="Palatino Linotype" w:hAnsi="Palatino Linotype"/>
                <w:color w:val="2F5496" w:themeColor="accent5" w:themeShade="BF"/>
                <w:sz w:val="20"/>
                <w:szCs w:val="20"/>
              </w:rPr>
              <w:t xml:space="preserve"> for policy and procedure information</w:t>
            </w:r>
          </w:p>
          <w:p w:rsidR="00DF3B75" w:rsidRPr="001A00F1" w:rsidRDefault="00DF3B75" w:rsidP="001A00F1">
            <w:pPr>
              <w:pStyle w:val="ListParagraph"/>
              <w:numPr>
                <w:ilvl w:val="0"/>
                <w:numId w:val="4"/>
              </w:numPr>
              <w:ind w:left="504"/>
              <w:rPr>
                <w:rStyle w:val="tx"/>
                <w:rFonts w:ascii="Palatino Linotype" w:hAnsi="Palatino Linotype"/>
                <w:color w:val="2F5496" w:themeColor="accent5" w:themeShade="BF"/>
                <w:sz w:val="20"/>
                <w:szCs w:val="20"/>
              </w:rPr>
            </w:pPr>
            <w:r w:rsidRPr="001A00F1">
              <w:rPr>
                <w:rStyle w:val="tx"/>
                <w:rFonts w:ascii="Palatino Linotype" w:hAnsi="Palatino Linotype"/>
                <w:color w:val="2F5496" w:themeColor="accent5" w:themeShade="BF"/>
                <w:spacing w:val="-3"/>
                <w:sz w:val="20"/>
                <w:szCs w:val="20"/>
                <w:bdr w:val="none" w:sz="0" w:space="0" w:color="auto" w:frame="1"/>
              </w:rPr>
              <w:t>IC must invoice for agreed u</w:t>
            </w:r>
            <w:r w:rsidR="009354FD" w:rsidRPr="001A00F1">
              <w:rPr>
                <w:rStyle w:val="tx"/>
                <w:rFonts w:ascii="Palatino Linotype" w:hAnsi="Palatino Linotype"/>
                <w:color w:val="2F5496" w:themeColor="accent5" w:themeShade="BF"/>
                <w:spacing w:val="-3"/>
                <w:sz w:val="20"/>
                <w:szCs w:val="20"/>
                <w:bdr w:val="none" w:sz="0" w:space="0" w:color="auto" w:frame="1"/>
              </w:rPr>
              <w:t xml:space="preserve">pon travel expenses and </w:t>
            </w:r>
            <w:r w:rsidRPr="001A00F1">
              <w:rPr>
                <w:rStyle w:val="tx"/>
                <w:rFonts w:ascii="Palatino Linotype" w:hAnsi="Palatino Linotype"/>
                <w:color w:val="2F5496" w:themeColor="accent5" w:themeShade="BF"/>
                <w:spacing w:val="-3"/>
                <w:sz w:val="20"/>
                <w:szCs w:val="20"/>
                <w:bdr w:val="none" w:sz="0" w:space="0" w:color="auto" w:frame="1"/>
              </w:rPr>
              <w:t>is considered taxable by the IRS</w:t>
            </w:r>
          </w:p>
          <w:p w:rsidR="00D636DA" w:rsidRPr="001A00F1" w:rsidRDefault="00D636DA" w:rsidP="001A00F1">
            <w:pPr>
              <w:pStyle w:val="ListParagraph"/>
              <w:numPr>
                <w:ilvl w:val="0"/>
                <w:numId w:val="4"/>
              </w:numPr>
              <w:ind w:left="504"/>
              <w:rPr>
                <w:rFonts w:ascii="Palatino Linotype" w:hAnsi="Palatino Linotype"/>
                <w:color w:val="2F5496" w:themeColor="accent5" w:themeShade="BF"/>
                <w:spacing w:val="-3"/>
                <w:sz w:val="20"/>
                <w:szCs w:val="20"/>
                <w:bdr w:val="none" w:sz="0" w:space="0" w:color="auto" w:frame="1"/>
              </w:rPr>
            </w:pPr>
            <w:r w:rsidRPr="001A00F1">
              <w:rPr>
                <w:rStyle w:val="tx"/>
                <w:rFonts w:ascii="Palatino Linotype" w:hAnsi="Palatino Linotype"/>
                <w:color w:val="2F5496" w:themeColor="accent5" w:themeShade="BF"/>
                <w:spacing w:val="-3"/>
                <w:sz w:val="20"/>
                <w:szCs w:val="20"/>
                <w:bdr w:val="none" w:sz="0" w:space="0" w:color="auto" w:frame="1"/>
              </w:rPr>
              <w:t xml:space="preserve">Business entities registered as </w:t>
            </w:r>
            <w:r w:rsidR="00540D27" w:rsidRPr="001A00F1">
              <w:rPr>
                <w:rFonts w:ascii="Palatino Linotype" w:hAnsi="Palatino Linotype"/>
                <w:color w:val="2F5496" w:themeColor="accent5" w:themeShade="BF"/>
                <w:spacing w:val="-3"/>
                <w:sz w:val="20"/>
                <w:szCs w:val="20"/>
                <w:bdr w:val="none" w:sz="0" w:space="0" w:color="auto" w:frame="1"/>
              </w:rPr>
              <w:t>i</w:t>
            </w:r>
            <w:r w:rsidRPr="001A00F1">
              <w:rPr>
                <w:rFonts w:ascii="Palatino Linotype" w:hAnsi="Palatino Linotype"/>
                <w:color w:val="2F5496" w:themeColor="accent5" w:themeShade="BF"/>
                <w:spacing w:val="-3"/>
                <w:sz w:val="20"/>
                <w:szCs w:val="20"/>
                <w:bdr w:val="none" w:sz="0" w:space="0" w:color="auto" w:frame="1"/>
              </w:rPr>
              <w:t xml:space="preserve">ndividual/sole proprietor or single-member LLC must follow IC </w:t>
            </w:r>
            <w:r w:rsidR="00540D27" w:rsidRPr="001A00F1">
              <w:rPr>
                <w:rFonts w:ascii="Palatino Linotype" w:hAnsi="Palatino Linotype"/>
                <w:color w:val="2F5496" w:themeColor="accent5" w:themeShade="BF"/>
                <w:spacing w:val="-3"/>
                <w:sz w:val="20"/>
                <w:szCs w:val="20"/>
                <w:bdr w:val="none" w:sz="0" w:space="0" w:color="auto" w:frame="1"/>
              </w:rPr>
              <w:t>procedure</w:t>
            </w:r>
          </w:p>
          <w:p w:rsidR="00D636DA" w:rsidRPr="00E15042" w:rsidRDefault="00D636DA" w:rsidP="00D636DA">
            <w:pPr>
              <w:pStyle w:val="ListParagraph"/>
              <w:rPr>
                <w:rFonts w:ascii="Palatino Linotype" w:hAnsi="Palatino Linotype"/>
                <w:color w:val="2F5496" w:themeColor="accent5" w:themeShade="BF"/>
                <w:sz w:val="16"/>
                <w:szCs w:val="16"/>
              </w:rPr>
            </w:pPr>
          </w:p>
        </w:tc>
        <w:tc>
          <w:tcPr>
            <w:tcW w:w="5228" w:type="dxa"/>
            <w:tcBorders>
              <w:bottom w:val="single" w:sz="4" w:space="0" w:color="auto"/>
            </w:tcBorders>
          </w:tcPr>
          <w:p w:rsidR="00C429FD" w:rsidRPr="001A00F1" w:rsidRDefault="0062487B" w:rsidP="00F130DD">
            <w:pPr>
              <w:jc w:val="center"/>
              <w:rPr>
                <w:rFonts w:ascii="Palatino Linotype" w:hAnsi="Palatino Linotype"/>
                <w:color w:val="2F5496" w:themeColor="accent5" w:themeShade="BF"/>
                <w:sz w:val="24"/>
                <w:szCs w:val="18"/>
              </w:rPr>
            </w:pPr>
            <w:r w:rsidRPr="001A00F1">
              <w:rPr>
                <w:rFonts w:ascii="Palatino Linotype" w:hAnsi="Palatino Linotype"/>
                <w:b/>
                <w:color w:val="2F5496" w:themeColor="accent5" w:themeShade="BF"/>
                <w:sz w:val="24"/>
                <w:szCs w:val="18"/>
              </w:rPr>
              <w:t>Limited Service Engagement (LSE)</w:t>
            </w:r>
          </w:p>
          <w:p w:rsidR="0083337D" w:rsidRPr="005F51A1" w:rsidRDefault="002B0E10" w:rsidP="00F130DD">
            <w:pPr>
              <w:jc w:val="center"/>
              <w:rPr>
                <w:rFonts w:ascii="Palatino Linotype" w:hAnsi="Palatino Linotype"/>
                <w:color w:val="2F5496" w:themeColor="accent5" w:themeShade="BF"/>
                <w:sz w:val="20"/>
                <w:szCs w:val="18"/>
              </w:rPr>
            </w:pPr>
            <w:r w:rsidRPr="005F51A1">
              <w:rPr>
                <w:rFonts w:ascii="Palatino Linotype" w:hAnsi="Palatino Linotype"/>
                <w:color w:val="2F5496" w:themeColor="accent5" w:themeShade="BF"/>
                <w:sz w:val="20"/>
                <w:szCs w:val="18"/>
              </w:rPr>
              <w:t>Independent Service Provider (I</w:t>
            </w:r>
            <w:r w:rsidR="0062487B" w:rsidRPr="005F51A1">
              <w:rPr>
                <w:rFonts w:ascii="Palatino Linotype" w:hAnsi="Palatino Linotype"/>
                <w:color w:val="2F5496" w:themeColor="accent5" w:themeShade="BF"/>
                <w:sz w:val="20"/>
                <w:szCs w:val="18"/>
              </w:rPr>
              <w:t>SP)</w:t>
            </w:r>
          </w:p>
          <w:p w:rsidR="006562EF" w:rsidRPr="005F51A1" w:rsidRDefault="006562EF" w:rsidP="006562EF">
            <w:pPr>
              <w:jc w:val="center"/>
              <w:rPr>
                <w:rFonts w:ascii="Palatino Linotype" w:hAnsi="Palatino Linotype"/>
                <w:b/>
                <w:color w:val="2F5496" w:themeColor="accent5" w:themeShade="BF"/>
                <w:sz w:val="18"/>
                <w:szCs w:val="18"/>
              </w:rPr>
            </w:pPr>
            <w:r w:rsidRPr="005F51A1">
              <w:rPr>
                <w:rFonts w:ascii="Palatino Linotype" w:hAnsi="Palatino Linotype"/>
                <w:color w:val="2F5496" w:themeColor="accent5" w:themeShade="BF"/>
                <w:sz w:val="20"/>
                <w:szCs w:val="18"/>
              </w:rPr>
              <w:t xml:space="preserve">Object Code: </w:t>
            </w:r>
            <w:r w:rsidRPr="005F51A1">
              <w:rPr>
                <w:rFonts w:ascii="Palatino Linotype" w:hAnsi="Palatino Linotype"/>
                <w:b/>
                <w:color w:val="2F5496" w:themeColor="accent5" w:themeShade="BF"/>
                <w:sz w:val="20"/>
                <w:szCs w:val="18"/>
              </w:rPr>
              <w:t>5313</w:t>
            </w:r>
          </w:p>
          <w:p w:rsidR="00F130DD" w:rsidRPr="005F51A1" w:rsidRDefault="00F130DD" w:rsidP="00C429FD">
            <w:pPr>
              <w:rPr>
                <w:rFonts w:ascii="Palatino Linotype" w:hAnsi="Palatino Linotype"/>
                <w:color w:val="2F5496" w:themeColor="accent5" w:themeShade="BF"/>
                <w:sz w:val="12"/>
                <w:szCs w:val="18"/>
              </w:rPr>
            </w:pPr>
          </w:p>
          <w:p w:rsidR="00761F18" w:rsidRDefault="00A973A4" w:rsidP="00557186">
            <w:pPr>
              <w:rPr>
                <w:rFonts w:ascii="Palatino Linotype" w:hAnsi="Palatino Linotype"/>
                <w:color w:val="2F5496" w:themeColor="accent5" w:themeShade="BF"/>
                <w:sz w:val="20"/>
                <w:szCs w:val="20"/>
              </w:rPr>
            </w:pPr>
            <w:r w:rsidRPr="001A00F1">
              <w:rPr>
                <w:rFonts w:ascii="Palatino Linotype" w:hAnsi="Palatino Linotype"/>
                <w:b/>
                <w:color w:val="2F5496" w:themeColor="accent5" w:themeShade="BF"/>
                <w:sz w:val="20"/>
                <w:szCs w:val="20"/>
              </w:rPr>
              <w:t>Description</w:t>
            </w:r>
            <w:r w:rsidR="00C429FD" w:rsidRPr="001A00F1">
              <w:rPr>
                <w:rFonts w:ascii="Palatino Linotype" w:hAnsi="Palatino Linotype"/>
                <w:b/>
                <w:color w:val="2F5496" w:themeColor="accent5" w:themeShade="BF"/>
                <w:sz w:val="20"/>
                <w:szCs w:val="20"/>
              </w:rPr>
              <w:t>:</w:t>
            </w:r>
            <w:r w:rsidR="00557186" w:rsidRPr="001A00F1">
              <w:rPr>
                <w:rFonts w:ascii="Palatino Linotype" w:hAnsi="Palatino Linotype"/>
                <w:b/>
                <w:color w:val="2F5496" w:themeColor="accent5" w:themeShade="BF"/>
                <w:sz w:val="20"/>
                <w:szCs w:val="20"/>
              </w:rPr>
              <w:t xml:space="preserve"> Lecture/Critic Fee</w:t>
            </w:r>
            <w:r w:rsidR="00557186" w:rsidRPr="001A00F1">
              <w:rPr>
                <w:rFonts w:ascii="Palatino Linotype" w:hAnsi="Palatino Linotype"/>
                <w:color w:val="2F5496" w:themeColor="accent5" w:themeShade="BF"/>
                <w:sz w:val="20"/>
                <w:szCs w:val="20"/>
              </w:rPr>
              <w:t xml:space="preserve"> </w:t>
            </w:r>
          </w:p>
          <w:p w:rsidR="00557186" w:rsidRPr="001A00F1" w:rsidRDefault="00557186" w:rsidP="00557186">
            <w:pPr>
              <w:rPr>
                <w:rFonts w:ascii="Palatino Linotype" w:hAnsi="Palatino Linotype"/>
                <w:color w:val="2F5496" w:themeColor="accent5" w:themeShade="BF"/>
                <w:sz w:val="20"/>
                <w:szCs w:val="20"/>
              </w:rPr>
            </w:pPr>
            <w:r w:rsidRPr="001A00F1">
              <w:rPr>
                <w:rFonts w:ascii="Palatino Linotype" w:hAnsi="Palatino Linotype"/>
                <w:color w:val="2F5496" w:themeColor="accent5" w:themeShade="BF"/>
                <w:sz w:val="20"/>
                <w:szCs w:val="20"/>
              </w:rPr>
              <w:t xml:space="preserve">Payment to an individual (non-employee) for the presentation of a dissertation, lecture or </w:t>
            </w:r>
            <w:r w:rsidR="003674B6">
              <w:rPr>
                <w:rFonts w:ascii="Palatino Linotype" w:hAnsi="Palatino Linotype"/>
                <w:color w:val="2F5496" w:themeColor="accent5" w:themeShade="BF"/>
                <w:sz w:val="20"/>
                <w:szCs w:val="20"/>
              </w:rPr>
              <w:t xml:space="preserve">discourse before a class or a </w:t>
            </w:r>
            <w:r w:rsidR="003674B6" w:rsidRPr="003674B6">
              <w:rPr>
                <w:rFonts w:ascii="Palatino Linotype" w:hAnsi="Palatino Linotype"/>
                <w:color w:val="2F5496" w:themeColor="accent5" w:themeShade="BF"/>
                <w:sz w:val="20"/>
                <w:szCs w:val="20"/>
                <w:highlight w:val="yellow"/>
                <w:u w:val="single"/>
              </w:rPr>
              <w:t>closed</w:t>
            </w:r>
            <w:r w:rsidR="003674B6" w:rsidRPr="003674B6">
              <w:rPr>
                <w:rFonts w:ascii="Palatino Linotype" w:hAnsi="Palatino Linotype"/>
                <w:color w:val="2F5496" w:themeColor="accent5" w:themeShade="BF"/>
                <w:sz w:val="20"/>
                <w:szCs w:val="20"/>
                <w:highlight w:val="yellow"/>
              </w:rPr>
              <w:t xml:space="preserve"> a</w:t>
            </w:r>
            <w:r w:rsidRPr="003674B6">
              <w:rPr>
                <w:rFonts w:ascii="Palatino Linotype" w:hAnsi="Palatino Linotype"/>
                <w:color w:val="2F5496" w:themeColor="accent5" w:themeShade="BF"/>
                <w:sz w:val="20"/>
                <w:szCs w:val="20"/>
                <w:highlight w:val="yellow"/>
              </w:rPr>
              <w:t>udience</w:t>
            </w:r>
            <w:r w:rsidRPr="001A00F1">
              <w:rPr>
                <w:rFonts w:ascii="Palatino Linotype" w:hAnsi="Palatino Linotype"/>
                <w:color w:val="2F5496" w:themeColor="accent5" w:themeShade="BF"/>
                <w:sz w:val="20"/>
                <w:szCs w:val="20"/>
              </w:rPr>
              <w:t xml:space="preserve">. </w:t>
            </w:r>
          </w:p>
          <w:p w:rsidR="00F308B5" w:rsidRPr="00A87F25" w:rsidRDefault="00F308B5" w:rsidP="00CA3D4B">
            <w:pPr>
              <w:rPr>
                <w:rFonts w:ascii="Palatino Linotype" w:hAnsi="Palatino Linotype"/>
                <w:b/>
                <w:color w:val="2F5496" w:themeColor="accent5" w:themeShade="BF"/>
                <w:sz w:val="12"/>
                <w:szCs w:val="20"/>
              </w:rPr>
            </w:pPr>
          </w:p>
          <w:p w:rsidR="00CA3D4B" w:rsidRPr="001A00F1" w:rsidRDefault="001A00F1" w:rsidP="00CA3D4B">
            <w:pPr>
              <w:rPr>
                <w:rFonts w:ascii="Palatino Linotype" w:hAnsi="Palatino Linotype"/>
                <w:color w:val="2F5496" w:themeColor="accent5" w:themeShade="BF"/>
                <w:sz w:val="20"/>
                <w:szCs w:val="20"/>
              </w:rPr>
            </w:pPr>
            <w:r>
              <w:rPr>
                <w:rFonts w:ascii="Palatino Linotype" w:hAnsi="Palatino Linotype"/>
                <w:b/>
                <w:color w:val="2F5496" w:themeColor="accent5" w:themeShade="BF"/>
                <w:sz w:val="20"/>
                <w:szCs w:val="20"/>
              </w:rPr>
              <w:t>Approved U</w:t>
            </w:r>
            <w:r w:rsidR="00BA121B" w:rsidRPr="001A00F1">
              <w:rPr>
                <w:rFonts w:ascii="Palatino Linotype" w:hAnsi="Palatino Linotype"/>
                <w:b/>
                <w:color w:val="2F5496" w:themeColor="accent5" w:themeShade="BF"/>
                <w:sz w:val="20"/>
                <w:szCs w:val="20"/>
              </w:rPr>
              <w:t>se:</w:t>
            </w:r>
            <w:r w:rsidR="00CB4B53" w:rsidRPr="001A00F1">
              <w:rPr>
                <w:rFonts w:ascii="Palatino Linotype" w:hAnsi="Palatino Linotype"/>
                <w:b/>
                <w:color w:val="2F5496" w:themeColor="accent5" w:themeShade="BF"/>
                <w:sz w:val="20"/>
                <w:szCs w:val="20"/>
              </w:rPr>
              <w:t xml:space="preserve"> </w:t>
            </w:r>
            <w:r w:rsidR="00A87F25">
              <w:rPr>
                <w:rFonts w:ascii="Palatino Linotype" w:hAnsi="Palatino Linotype"/>
                <w:color w:val="2F5496" w:themeColor="accent5" w:themeShade="BF"/>
                <w:sz w:val="20"/>
                <w:szCs w:val="20"/>
              </w:rPr>
              <w:t>I</w:t>
            </w:r>
            <w:r w:rsidR="00CA3D4B" w:rsidRPr="001A00F1">
              <w:rPr>
                <w:rFonts w:ascii="Palatino Linotype" w:hAnsi="Palatino Linotype"/>
                <w:color w:val="2F5496" w:themeColor="accent5" w:themeShade="BF"/>
                <w:sz w:val="20"/>
                <w:szCs w:val="20"/>
              </w:rPr>
              <w:t>ntended for guest speakers, guest</w:t>
            </w:r>
            <w:r>
              <w:rPr>
                <w:rFonts w:ascii="Palatino Linotype" w:hAnsi="Palatino Linotype"/>
                <w:color w:val="2F5496" w:themeColor="accent5" w:themeShade="BF"/>
                <w:sz w:val="20"/>
                <w:szCs w:val="20"/>
              </w:rPr>
              <w:t xml:space="preserve"> </w:t>
            </w:r>
            <w:r w:rsidR="00CA3D4B" w:rsidRPr="001A00F1">
              <w:rPr>
                <w:rFonts w:ascii="Palatino Linotype" w:hAnsi="Palatino Linotype"/>
                <w:color w:val="2F5496" w:themeColor="accent5" w:themeShade="BF"/>
                <w:sz w:val="20"/>
                <w:szCs w:val="20"/>
              </w:rPr>
              <w:t>lecturers, artists, performers, writers/editors, board members, critics, preceptors, and mentors or those services meeting the fee guidelines.</w:t>
            </w:r>
          </w:p>
          <w:p w:rsidR="00F308B5" w:rsidRPr="00A87F25" w:rsidRDefault="00F308B5" w:rsidP="00C429FD">
            <w:pPr>
              <w:rPr>
                <w:rFonts w:ascii="Palatino Linotype" w:hAnsi="Palatino Linotype"/>
                <w:b/>
                <w:color w:val="2F5496" w:themeColor="accent5" w:themeShade="BF"/>
                <w:sz w:val="12"/>
                <w:szCs w:val="20"/>
              </w:rPr>
            </w:pPr>
          </w:p>
          <w:p w:rsidR="006F1138" w:rsidRPr="001A00F1" w:rsidRDefault="001A00F1" w:rsidP="00C429FD">
            <w:pPr>
              <w:rPr>
                <w:rFonts w:ascii="Palatino Linotype" w:hAnsi="Palatino Linotype"/>
                <w:b/>
                <w:color w:val="2F5496" w:themeColor="accent5" w:themeShade="BF"/>
                <w:sz w:val="20"/>
                <w:szCs w:val="20"/>
              </w:rPr>
            </w:pPr>
            <w:r>
              <w:rPr>
                <w:rFonts w:ascii="Palatino Linotype" w:hAnsi="Palatino Linotype"/>
                <w:b/>
                <w:color w:val="2F5496" w:themeColor="accent5" w:themeShade="BF"/>
                <w:sz w:val="20"/>
                <w:szCs w:val="20"/>
              </w:rPr>
              <w:t>Additional I</w:t>
            </w:r>
            <w:r w:rsidR="00C429FD" w:rsidRPr="001A00F1">
              <w:rPr>
                <w:rFonts w:ascii="Palatino Linotype" w:hAnsi="Palatino Linotype"/>
                <w:b/>
                <w:color w:val="2F5496" w:themeColor="accent5" w:themeShade="BF"/>
                <w:sz w:val="20"/>
                <w:szCs w:val="20"/>
              </w:rPr>
              <w:t>nformation:</w:t>
            </w:r>
          </w:p>
          <w:p w:rsidR="002F1595" w:rsidRPr="001A00F1" w:rsidRDefault="002F1595" w:rsidP="001A00F1">
            <w:pPr>
              <w:pStyle w:val="ListParagraph"/>
              <w:numPr>
                <w:ilvl w:val="0"/>
                <w:numId w:val="2"/>
              </w:numPr>
              <w:ind w:left="504"/>
              <w:rPr>
                <w:rFonts w:ascii="Palatino Linotype" w:hAnsi="Palatino Linotype"/>
                <w:color w:val="2F5496" w:themeColor="accent5" w:themeShade="BF"/>
                <w:sz w:val="20"/>
                <w:szCs w:val="20"/>
              </w:rPr>
            </w:pPr>
            <w:r w:rsidRPr="001A00F1">
              <w:rPr>
                <w:rFonts w:ascii="Palatino Linotype" w:hAnsi="Palatino Linotype"/>
                <w:color w:val="2F5496" w:themeColor="accent5" w:themeShade="BF"/>
                <w:sz w:val="20"/>
                <w:szCs w:val="20"/>
              </w:rPr>
              <w:t>Please refer to</w:t>
            </w:r>
            <w:r w:rsidR="00CA3D4B" w:rsidRPr="001A00F1">
              <w:rPr>
                <w:rFonts w:ascii="Palatino Linotype" w:hAnsi="Palatino Linotype"/>
                <w:color w:val="2F5496" w:themeColor="accent5" w:themeShade="BF"/>
                <w:sz w:val="20"/>
                <w:szCs w:val="20"/>
              </w:rPr>
              <w:t xml:space="preserve"> the</w:t>
            </w:r>
            <w:r w:rsidRPr="001A00F1">
              <w:rPr>
                <w:rFonts w:ascii="Palatino Linotype" w:hAnsi="Palatino Linotype"/>
                <w:color w:val="2F5496" w:themeColor="accent5" w:themeShade="BF"/>
                <w:sz w:val="20"/>
                <w:szCs w:val="20"/>
              </w:rPr>
              <w:t xml:space="preserve"> </w:t>
            </w:r>
            <w:hyperlink r:id="rId7" w:history="1">
              <w:r w:rsidRPr="001A00F1">
                <w:rPr>
                  <w:rStyle w:val="Hyperlink"/>
                  <w:rFonts w:ascii="Palatino Linotype" w:hAnsi="Palatino Linotype"/>
                  <w:color w:val="2F5496" w:themeColor="accent5" w:themeShade="BF"/>
                  <w:sz w:val="20"/>
                  <w:szCs w:val="20"/>
                </w:rPr>
                <w:t>Limited Service Engagement Guide</w:t>
              </w:r>
            </w:hyperlink>
            <w:r w:rsidRPr="001A00F1">
              <w:rPr>
                <w:rFonts w:ascii="Palatino Linotype" w:hAnsi="Palatino Linotype"/>
                <w:color w:val="2F5496" w:themeColor="accent5" w:themeShade="BF"/>
                <w:sz w:val="20"/>
                <w:szCs w:val="20"/>
              </w:rPr>
              <w:t xml:space="preserve"> for policy and procedure information</w:t>
            </w:r>
          </w:p>
          <w:p w:rsidR="00E37D33" w:rsidRPr="001A00F1" w:rsidRDefault="00E21576" w:rsidP="001A00F1">
            <w:pPr>
              <w:pStyle w:val="ListParagraph"/>
              <w:numPr>
                <w:ilvl w:val="0"/>
                <w:numId w:val="2"/>
              </w:numPr>
              <w:ind w:left="504"/>
              <w:rPr>
                <w:rStyle w:val="tx"/>
                <w:rFonts w:ascii="Palatino Linotype" w:hAnsi="Palatino Linotype"/>
                <w:color w:val="2F5496" w:themeColor="accent5" w:themeShade="BF"/>
                <w:sz w:val="20"/>
                <w:szCs w:val="20"/>
              </w:rPr>
            </w:pPr>
            <w:r w:rsidRPr="001A00F1">
              <w:rPr>
                <w:rStyle w:val="tx"/>
                <w:rFonts w:ascii="Palatino Linotype" w:hAnsi="Palatino Linotype"/>
                <w:color w:val="2F5496" w:themeColor="accent5" w:themeShade="BF"/>
                <w:sz w:val="20"/>
                <w:szCs w:val="20"/>
                <w:bdr w:val="none" w:sz="0" w:space="0" w:color="auto" w:frame="1"/>
              </w:rPr>
              <w:t>A Limited Engagement Fee is a payment to an individual (non-faculty</w:t>
            </w:r>
            <w:r w:rsidR="006E2E40">
              <w:rPr>
                <w:rStyle w:val="tx"/>
                <w:rFonts w:ascii="Palatino Linotype" w:hAnsi="Palatino Linotype"/>
                <w:color w:val="2F5496" w:themeColor="accent5" w:themeShade="BF"/>
                <w:spacing w:val="-2"/>
                <w:sz w:val="20"/>
                <w:szCs w:val="20"/>
                <w:bdr w:val="none" w:sz="0" w:space="0" w:color="auto" w:frame="1"/>
              </w:rPr>
              <w:t>/staff/</w:t>
            </w:r>
            <w:r w:rsidRPr="001A00F1">
              <w:rPr>
                <w:rStyle w:val="tx"/>
                <w:rFonts w:ascii="Palatino Linotype" w:hAnsi="Palatino Linotype"/>
                <w:color w:val="2F5496" w:themeColor="accent5" w:themeShade="BF"/>
                <w:spacing w:val="-2"/>
                <w:sz w:val="20"/>
                <w:szCs w:val="20"/>
                <w:bdr w:val="none" w:sz="0" w:space="0" w:color="auto" w:frame="1"/>
              </w:rPr>
              <w:t>student) </w:t>
            </w:r>
            <w:r w:rsidRPr="001A00F1">
              <w:rPr>
                <w:rStyle w:val="tx"/>
                <w:rFonts w:ascii="Palatino Linotype" w:hAnsi="Palatino Linotype"/>
                <w:color w:val="2F5496" w:themeColor="accent5" w:themeShade="BF"/>
                <w:spacing w:val="-5"/>
                <w:sz w:val="20"/>
                <w:szCs w:val="20"/>
                <w:bdr w:val="none" w:sz="0" w:space="0" w:color="auto" w:frame="1"/>
              </w:rPr>
              <w:t>for </w:t>
            </w:r>
            <w:r w:rsidRPr="001A00F1">
              <w:rPr>
                <w:rStyle w:val="tx"/>
                <w:rFonts w:ascii="Palatino Linotype" w:hAnsi="Palatino Linotype"/>
                <w:color w:val="2F5496" w:themeColor="accent5" w:themeShade="BF"/>
                <w:sz w:val="20"/>
                <w:szCs w:val="20"/>
                <w:bdr w:val="none" w:sz="0" w:space="0" w:color="auto" w:frame="1"/>
              </w:rPr>
              <w:t xml:space="preserve">providing a service of an academic nature, short duration, and low dollar amount </w:t>
            </w:r>
            <w:r w:rsidR="00BD6FB1" w:rsidRPr="00FA59AF">
              <w:rPr>
                <w:rStyle w:val="tx"/>
                <w:rFonts w:ascii="Palatino Linotype" w:hAnsi="Palatino Linotype"/>
                <w:color w:val="2F5496" w:themeColor="accent5" w:themeShade="BF"/>
                <w:sz w:val="20"/>
                <w:szCs w:val="20"/>
                <w:bdr w:val="none" w:sz="0" w:space="0" w:color="auto" w:frame="1"/>
              </w:rPr>
              <w:t xml:space="preserve">($1,000 or less </w:t>
            </w:r>
            <w:r w:rsidR="00FA59AF" w:rsidRPr="00FA59AF">
              <w:rPr>
                <w:rStyle w:val="tx"/>
                <w:rFonts w:ascii="Palatino Linotype" w:hAnsi="Palatino Linotype"/>
                <w:color w:val="2F5496" w:themeColor="accent5" w:themeShade="BF"/>
                <w:sz w:val="20"/>
                <w:szCs w:val="20"/>
                <w:bdr w:val="none" w:sz="0" w:space="0" w:color="auto" w:frame="1"/>
              </w:rPr>
              <w:t>per transaction</w:t>
            </w:r>
            <w:r w:rsidRPr="00FA59AF">
              <w:rPr>
                <w:rStyle w:val="tx"/>
                <w:rFonts w:ascii="Palatino Linotype" w:hAnsi="Palatino Linotype"/>
                <w:color w:val="2F5496" w:themeColor="accent5" w:themeShade="BF"/>
                <w:sz w:val="20"/>
                <w:szCs w:val="20"/>
                <w:bdr w:val="none" w:sz="0" w:space="0" w:color="auto" w:frame="1"/>
              </w:rPr>
              <w:t>; $5,000 per year max).</w:t>
            </w:r>
            <w:r w:rsidRPr="001A00F1">
              <w:rPr>
                <w:rStyle w:val="tx"/>
                <w:rFonts w:ascii="Palatino Linotype" w:hAnsi="Palatino Linotype"/>
                <w:color w:val="2F5496" w:themeColor="accent5" w:themeShade="BF"/>
                <w:sz w:val="20"/>
                <w:szCs w:val="20"/>
                <w:bdr w:val="none" w:sz="0" w:space="0" w:color="auto" w:frame="1"/>
              </w:rPr>
              <w:t>  </w:t>
            </w:r>
          </w:p>
          <w:p w:rsidR="00E21576" w:rsidRPr="00E15042" w:rsidRDefault="008236F3" w:rsidP="001A00F1">
            <w:pPr>
              <w:pStyle w:val="ListParagraph"/>
              <w:numPr>
                <w:ilvl w:val="0"/>
                <w:numId w:val="2"/>
              </w:numPr>
              <w:ind w:left="504"/>
              <w:rPr>
                <w:rFonts w:ascii="Palatino Linotype" w:hAnsi="Palatino Linotype"/>
                <w:color w:val="2F5496" w:themeColor="accent5" w:themeShade="BF"/>
                <w:sz w:val="18"/>
                <w:szCs w:val="18"/>
              </w:rPr>
            </w:pPr>
            <w:r w:rsidRPr="001A00F1">
              <w:rPr>
                <w:rStyle w:val="tx"/>
                <w:rFonts w:ascii="Palatino Linotype" w:hAnsi="Palatino Linotype"/>
                <w:color w:val="2F5496" w:themeColor="accent5" w:themeShade="BF"/>
                <w:spacing w:val="-3"/>
                <w:sz w:val="20"/>
                <w:szCs w:val="20"/>
                <w:bdr w:val="none" w:sz="0" w:space="0" w:color="auto" w:frame="1"/>
              </w:rPr>
              <w:t>LSE must invoice for agreed u</w:t>
            </w:r>
            <w:r w:rsidR="009354FD" w:rsidRPr="001A00F1">
              <w:rPr>
                <w:rStyle w:val="tx"/>
                <w:rFonts w:ascii="Palatino Linotype" w:hAnsi="Palatino Linotype"/>
                <w:color w:val="2F5496" w:themeColor="accent5" w:themeShade="BF"/>
                <w:spacing w:val="-3"/>
                <w:sz w:val="20"/>
                <w:szCs w:val="20"/>
                <w:bdr w:val="none" w:sz="0" w:space="0" w:color="auto" w:frame="1"/>
              </w:rPr>
              <w:t xml:space="preserve">pon travel expenses and </w:t>
            </w:r>
            <w:r w:rsidRPr="001A00F1">
              <w:rPr>
                <w:rStyle w:val="tx"/>
                <w:rFonts w:ascii="Palatino Linotype" w:hAnsi="Palatino Linotype"/>
                <w:color w:val="2F5496" w:themeColor="accent5" w:themeShade="BF"/>
                <w:spacing w:val="-3"/>
                <w:sz w:val="20"/>
                <w:szCs w:val="20"/>
                <w:bdr w:val="none" w:sz="0" w:space="0" w:color="auto" w:frame="1"/>
              </w:rPr>
              <w:t>is considered taxable</w:t>
            </w:r>
            <w:r w:rsidR="00E21576" w:rsidRPr="001A00F1">
              <w:rPr>
                <w:rStyle w:val="tx"/>
                <w:rFonts w:ascii="Palatino Linotype" w:hAnsi="Palatino Linotype"/>
                <w:color w:val="2F5496" w:themeColor="accent5" w:themeShade="BF"/>
                <w:spacing w:val="-3"/>
                <w:sz w:val="20"/>
                <w:szCs w:val="20"/>
                <w:bdr w:val="none" w:sz="0" w:space="0" w:color="auto" w:frame="1"/>
              </w:rPr>
              <w:t xml:space="preserve"> </w:t>
            </w:r>
            <w:r w:rsidRPr="001A00F1">
              <w:rPr>
                <w:rStyle w:val="tx"/>
                <w:rFonts w:ascii="Palatino Linotype" w:hAnsi="Palatino Linotype"/>
                <w:color w:val="2F5496" w:themeColor="accent5" w:themeShade="BF"/>
                <w:spacing w:val="-3"/>
                <w:sz w:val="20"/>
                <w:szCs w:val="20"/>
                <w:bdr w:val="none" w:sz="0" w:space="0" w:color="auto" w:frame="1"/>
              </w:rPr>
              <w:t>by the IRS</w:t>
            </w:r>
          </w:p>
        </w:tc>
      </w:tr>
      <w:tr w:rsidR="006F1138" w:rsidTr="003674B6">
        <w:trPr>
          <w:trHeight w:val="5106"/>
        </w:trPr>
        <w:tc>
          <w:tcPr>
            <w:tcW w:w="5572" w:type="dxa"/>
          </w:tcPr>
          <w:p w:rsidR="00C429FD" w:rsidRPr="000B3782" w:rsidRDefault="00F308B5" w:rsidP="00F130DD">
            <w:pPr>
              <w:jc w:val="center"/>
              <w:rPr>
                <w:rFonts w:ascii="Palatino Linotype" w:hAnsi="Palatino Linotype"/>
                <w:color w:val="2F5496" w:themeColor="accent5" w:themeShade="BF"/>
                <w:sz w:val="24"/>
                <w:szCs w:val="18"/>
              </w:rPr>
            </w:pPr>
            <w:r w:rsidRPr="000B3782">
              <w:rPr>
                <w:rFonts w:ascii="Palatino Linotype" w:hAnsi="Palatino Linotype"/>
                <w:b/>
                <w:color w:val="2F5496" w:themeColor="accent5" w:themeShade="BF"/>
                <w:sz w:val="24"/>
                <w:szCs w:val="18"/>
              </w:rPr>
              <w:t>Honorarium</w:t>
            </w:r>
          </w:p>
          <w:p w:rsidR="0083337D" w:rsidRPr="005F51A1" w:rsidRDefault="00F130DD" w:rsidP="00F130DD">
            <w:pPr>
              <w:jc w:val="center"/>
              <w:rPr>
                <w:rFonts w:ascii="Palatino Linotype" w:hAnsi="Palatino Linotype"/>
                <w:color w:val="2F5496" w:themeColor="accent5" w:themeShade="BF"/>
                <w:sz w:val="20"/>
                <w:szCs w:val="18"/>
              </w:rPr>
            </w:pPr>
            <w:r w:rsidRPr="005F51A1">
              <w:rPr>
                <w:rFonts w:ascii="Palatino Linotype" w:hAnsi="Palatino Linotype"/>
                <w:color w:val="2F5496" w:themeColor="accent5" w:themeShade="BF"/>
                <w:sz w:val="20"/>
                <w:szCs w:val="18"/>
              </w:rPr>
              <w:t>Distinguished Speaker</w:t>
            </w:r>
          </w:p>
          <w:p w:rsidR="006562EF" w:rsidRPr="005F51A1" w:rsidRDefault="006562EF" w:rsidP="006562EF">
            <w:pPr>
              <w:jc w:val="center"/>
              <w:rPr>
                <w:rFonts w:ascii="Palatino Linotype" w:hAnsi="Palatino Linotype"/>
                <w:b/>
                <w:color w:val="2F5496" w:themeColor="accent5" w:themeShade="BF"/>
                <w:sz w:val="20"/>
                <w:szCs w:val="18"/>
              </w:rPr>
            </w:pPr>
            <w:r w:rsidRPr="005F51A1">
              <w:rPr>
                <w:rFonts w:ascii="Palatino Linotype" w:hAnsi="Palatino Linotype"/>
                <w:color w:val="2F5496" w:themeColor="accent5" w:themeShade="BF"/>
                <w:sz w:val="20"/>
                <w:szCs w:val="18"/>
              </w:rPr>
              <w:t xml:space="preserve">Object Code: </w:t>
            </w:r>
            <w:r w:rsidRPr="005F51A1">
              <w:rPr>
                <w:rFonts w:ascii="Palatino Linotype" w:hAnsi="Palatino Linotype"/>
                <w:b/>
                <w:color w:val="2F5496" w:themeColor="accent5" w:themeShade="BF"/>
                <w:sz w:val="20"/>
                <w:szCs w:val="18"/>
              </w:rPr>
              <w:t>5314</w:t>
            </w:r>
          </w:p>
          <w:p w:rsidR="00F130DD" w:rsidRPr="005F51A1" w:rsidRDefault="00F130DD" w:rsidP="00C429FD">
            <w:pPr>
              <w:rPr>
                <w:rFonts w:ascii="Palatino Linotype" w:hAnsi="Palatino Linotype"/>
                <w:color w:val="2F5496" w:themeColor="accent5" w:themeShade="BF"/>
                <w:sz w:val="12"/>
                <w:szCs w:val="18"/>
              </w:rPr>
            </w:pPr>
          </w:p>
          <w:p w:rsidR="00BA121B" w:rsidRPr="005F51A1" w:rsidRDefault="00BA121B" w:rsidP="00BA121B">
            <w:pPr>
              <w:rPr>
                <w:rFonts w:ascii="Palatino Linotype" w:hAnsi="Palatino Linotype"/>
                <w:color w:val="2F5496" w:themeColor="accent5" w:themeShade="BF"/>
                <w:sz w:val="20"/>
                <w:szCs w:val="18"/>
              </w:rPr>
            </w:pPr>
            <w:r w:rsidRPr="005F51A1">
              <w:rPr>
                <w:rFonts w:ascii="Palatino Linotype" w:hAnsi="Palatino Linotype"/>
                <w:b/>
                <w:color w:val="2F5496" w:themeColor="accent5" w:themeShade="BF"/>
                <w:sz w:val="20"/>
                <w:szCs w:val="18"/>
              </w:rPr>
              <w:t>Description:</w:t>
            </w:r>
            <w:r w:rsidRPr="005F51A1">
              <w:rPr>
                <w:rFonts w:ascii="Palatino Linotype" w:hAnsi="Palatino Linotype"/>
                <w:color w:val="2F5496" w:themeColor="accent5" w:themeShade="BF"/>
                <w:sz w:val="20"/>
                <w:szCs w:val="18"/>
              </w:rPr>
              <w:t xml:space="preserve"> Payment intended to confer distinction</w:t>
            </w:r>
            <w:r w:rsidR="005F51A1">
              <w:rPr>
                <w:rFonts w:ascii="Palatino Linotype" w:hAnsi="Palatino Linotype"/>
                <w:color w:val="2F5496" w:themeColor="accent5" w:themeShade="BF"/>
                <w:sz w:val="20"/>
                <w:szCs w:val="18"/>
              </w:rPr>
              <w:t>,</w:t>
            </w:r>
            <w:r w:rsidRPr="005F51A1">
              <w:rPr>
                <w:rFonts w:ascii="Palatino Linotype" w:hAnsi="Palatino Linotype"/>
                <w:color w:val="2F5496" w:themeColor="accent5" w:themeShade="BF"/>
                <w:sz w:val="20"/>
                <w:szCs w:val="18"/>
              </w:rPr>
              <w:t xml:space="preserve"> or to symbolize respect, esteem</w:t>
            </w:r>
            <w:r w:rsidR="005F51A1">
              <w:rPr>
                <w:rFonts w:ascii="Palatino Linotype" w:hAnsi="Palatino Linotype"/>
                <w:color w:val="2F5496" w:themeColor="accent5" w:themeShade="BF"/>
                <w:sz w:val="20"/>
                <w:szCs w:val="18"/>
              </w:rPr>
              <w:t>,</w:t>
            </w:r>
            <w:r w:rsidRPr="005F51A1">
              <w:rPr>
                <w:rFonts w:ascii="Palatino Linotype" w:hAnsi="Palatino Linotype"/>
                <w:color w:val="2F5496" w:themeColor="accent5" w:themeShade="BF"/>
                <w:sz w:val="20"/>
                <w:szCs w:val="18"/>
              </w:rPr>
              <w:t xml:space="preserve"> or admiration for t</w:t>
            </w:r>
            <w:r w:rsidR="000B3782" w:rsidRPr="005F51A1">
              <w:rPr>
                <w:rFonts w:ascii="Palatino Linotype" w:hAnsi="Palatino Linotype"/>
                <w:color w:val="2F5496" w:themeColor="accent5" w:themeShade="BF"/>
                <w:sz w:val="20"/>
                <w:szCs w:val="18"/>
              </w:rPr>
              <w:t xml:space="preserve">he recipient. </w:t>
            </w:r>
          </w:p>
          <w:p w:rsidR="000B3782" w:rsidRPr="005F51A1" w:rsidRDefault="000B3782" w:rsidP="00BA121B">
            <w:pPr>
              <w:rPr>
                <w:rFonts w:ascii="Palatino Linotype" w:hAnsi="Palatino Linotype"/>
                <w:b/>
                <w:color w:val="2F5496" w:themeColor="accent5" w:themeShade="BF"/>
                <w:sz w:val="12"/>
                <w:szCs w:val="18"/>
              </w:rPr>
            </w:pPr>
          </w:p>
          <w:p w:rsidR="00BA121B" w:rsidRPr="005F51A1" w:rsidRDefault="00BA121B" w:rsidP="00BA121B">
            <w:pPr>
              <w:rPr>
                <w:rFonts w:ascii="Palatino Linotype" w:hAnsi="Palatino Linotype"/>
                <w:i/>
                <w:color w:val="2F5496" w:themeColor="accent5" w:themeShade="BF"/>
                <w:sz w:val="20"/>
                <w:szCs w:val="18"/>
              </w:rPr>
            </w:pPr>
            <w:r w:rsidRPr="003674B6">
              <w:rPr>
                <w:rFonts w:ascii="Palatino Linotype" w:hAnsi="Palatino Linotype"/>
                <w:b/>
                <w:color w:val="2F5496" w:themeColor="accent5" w:themeShade="BF"/>
                <w:sz w:val="20"/>
                <w:szCs w:val="18"/>
                <w:highlight w:val="yellow"/>
              </w:rPr>
              <w:t>Approved</w:t>
            </w:r>
            <w:r w:rsidR="005F51A1" w:rsidRPr="003674B6">
              <w:rPr>
                <w:rFonts w:ascii="Palatino Linotype" w:hAnsi="Palatino Linotype"/>
                <w:b/>
                <w:color w:val="2F5496" w:themeColor="accent5" w:themeShade="BF"/>
                <w:sz w:val="20"/>
                <w:szCs w:val="18"/>
                <w:highlight w:val="yellow"/>
              </w:rPr>
              <w:t xml:space="preserve"> U</w:t>
            </w:r>
            <w:r w:rsidRPr="003674B6">
              <w:rPr>
                <w:rFonts w:ascii="Palatino Linotype" w:hAnsi="Palatino Linotype"/>
                <w:b/>
                <w:color w:val="2F5496" w:themeColor="accent5" w:themeShade="BF"/>
                <w:sz w:val="20"/>
                <w:szCs w:val="18"/>
                <w:highlight w:val="yellow"/>
              </w:rPr>
              <w:t>se:</w:t>
            </w:r>
            <w:r w:rsidR="00323BD4" w:rsidRPr="003674B6">
              <w:rPr>
                <w:rFonts w:ascii="Palatino Linotype" w:hAnsi="Palatino Linotype"/>
                <w:color w:val="2F5496" w:themeColor="accent5" w:themeShade="BF"/>
                <w:sz w:val="20"/>
                <w:szCs w:val="18"/>
                <w:highlight w:val="yellow"/>
              </w:rPr>
              <w:t xml:space="preserve"> </w:t>
            </w:r>
            <w:r w:rsidR="003674B6" w:rsidRPr="003674B6">
              <w:rPr>
                <w:rFonts w:ascii="Palatino Linotype" w:hAnsi="Palatino Linotype"/>
                <w:color w:val="2F5496" w:themeColor="accent5" w:themeShade="BF"/>
                <w:sz w:val="20"/>
                <w:szCs w:val="18"/>
                <w:highlight w:val="yellow"/>
                <w:u w:val="single"/>
              </w:rPr>
              <w:t>Public</w:t>
            </w:r>
            <w:r w:rsidR="003674B6" w:rsidRPr="003674B6">
              <w:rPr>
                <w:rFonts w:ascii="Palatino Linotype" w:hAnsi="Palatino Linotype"/>
                <w:color w:val="2F5496" w:themeColor="accent5" w:themeShade="BF"/>
                <w:sz w:val="20"/>
                <w:szCs w:val="18"/>
                <w:highlight w:val="yellow"/>
              </w:rPr>
              <w:t xml:space="preserve"> lectures, symposia, conferences, and workshops.</w:t>
            </w:r>
            <w:r w:rsidR="008E47AD">
              <w:rPr>
                <w:rFonts w:ascii="Palatino Linotype" w:hAnsi="Palatino Linotype"/>
                <w:color w:val="2F5496" w:themeColor="accent5" w:themeShade="BF"/>
                <w:sz w:val="20"/>
                <w:szCs w:val="18"/>
              </w:rPr>
              <w:t xml:space="preserve"> </w:t>
            </w:r>
            <w:bookmarkStart w:id="0" w:name="_GoBack"/>
            <w:bookmarkEnd w:id="0"/>
          </w:p>
          <w:p w:rsidR="000B3782" w:rsidRPr="005F51A1" w:rsidRDefault="000B3782" w:rsidP="00BA121B">
            <w:pPr>
              <w:rPr>
                <w:rFonts w:ascii="Palatino Linotype" w:hAnsi="Palatino Linotype"/>
                <w:b/>
                <w:color w:val="2F5496" w:themeColor="accent5" w:themeShade="BF"/>
                <w:sz w:val="12"/>
                <w:szCs w:val="18"/>
              </w:rPr>
            </w:pPr>
          </w:p>
          <w:p w:rsidR="00BA121B" w:rsidRPr="005F51A1" w:rsidRDefault="00761F18" w:rsidP="00BA121B">
            <w:pPr>
              <w:rPr>
                <w:rFonts w:ascii="Palatino Linotype" w:hAnsi="Palatino Linotype"/>
                <w:b/>
                <w:color w:val="2F5496" w:themeColor="accent5" w:themeShade="BF"/>
                <w:sz w:val="20"/>
                <w:szCs w:val="18"/>
              </w:rPr>
            </w:pPr>
            <w:r>
              <w:rPr>
                <w:rFonts w:ascii="Palatino Linotype" w:hAnsi="Palatino Linotype"/>
                <w:b/>
                <w:color w:val="2F5496" w:themeColor="accent5" w:themeShade="BF"/>
                <w:sz w:val="20"/>
                <w:szCs w:val="18"/>
              </w:rPr>
              <w:t>Additional I</w:t>
            </w:r>
            <w:r w:rsidR="00BA121B" w:rsidRPr="005F51A1">
              <w:rPr>
                <w:rFonts w:ascii="Palatino Linotype" w:hAnsi="Palatino Linotype"/>
                <w:b/>
                <w:color w:val="2F5496" w:themeColor="accent5" w:themeShade="BF"/>
                <w:sz w:val="20"/>
                <w:szCs w:val="18"/>
              </w:rPr>
              <w:t xml:space="preserve">nformation: </w:t>
            </w:r>
          </w:p>
          <w:p w:rsidR="00761F18" w:rsidRPr="00761F18" w:rsidRDefault="00761F18" w:rsidP="00761F18">
            <w:pPr>
              <w:pStyle w:val="ListParagraph"/>
              <w:numPr>
                <w:ilvl w:val="0"/>
                <w:numId w:val="1"/>
              </w:numPr>
              <w:ind w:left="504"/>
              <w:rPr>
                <w:rFonts w:ascii="Palatino Linotype" w:hAnsi="Palatino Linotype"/>
                <w:color w:val="2F5496" w:themeColor="accent5" w:themeShade="BF"/>
                <w:sz w:val="20"/>
                <w:szCs w:val="18"/>
              </w:rPr>
            </w:pPr>
            <w:r w:rsidRPr="005F51A1">
              <w:rPr>
                <w:rFonts w:ascii="Palatino Linotype" w:hAnsi="Palatino Linotype"/>
                <w:color w:val="2F5496" w:themeColor="accent5" w:themeShade="BF"/>
                <w:sz w:val="20"/>
                <w:szCs w:val="18"/>
              </w:rPr>
              <w:t>Not to be used where a fee or deliverable of services are expected</w:t>
            </w:r>
          </w:p>
          <w:p w:rsidR="00BA121B" w:rsidRPr="005F51A1" w:rsidRDefault="00BA121B" w:rsidP="005F51A1">
            <w:pPr>
              <w:pStyle w:val="ListParagraph"/>
              <w:numPr>
                <w:ilvl w:val="0"/>
                <w:numId w:val="1"/>
              </w:numPr>
              <w:ind w:left="504"/>
              <w:rPr>
                <w:rFonts w:ascii="Palatino Linotype" w:hAnsi="Palatino Linotype"/>
                <w:color w:val="2F5496" w:themeColor="accent5" w:themeShade="BF"/>
                <w:sz w:val="20"/>
                <w:szCs w:val="18"/>
              </w:rPr>
            </w:pPr>
            <w:r w:rsidRPr="005F51A1">
              <w:rPr>
                <w:rFonts w:ascii="Palatino Linotype" w:hAnsi="Palatino Linotype"/>
                <w:color w:val="2F5496" w:themeColor="accent5" w:themeShade="BF"/>
                <w:sz w:val="20"/>
                <w:szCs w:val="18"/>
              </w:rPr>
              <w:t>Not to be used for guest critic or guest lecturer payment—</w:t>
            </w:r>
            <w:r w:rsidRPr="005F51A1">
              <w:rPr>
                <w:rFonts w:ascii="Palatino Linotype" w:hAnsi="Palatino Linotype"/>
                <w:i/>
                <w:color w:val="2F5496" w:themeColor="accent5" w:themeShade="BF"/>
                <w:sz w:val="20"/>
                <w:szCs w:val="18"/>
              </w:rPr>
              <w:t xml:space="preserve">see Limited Service Engagement </w:t>
            </w:r>
            <w:r w:rsidR="006F32A8" w:rsidRPr="005F51A1">
              <w:rPr>
                <w:rFonts w:ascii="Palatino Linotype" w:hAnsi="Palatino Linotype"/>
                <w:i/>
                <w:color w:val="2F5496" w:themeColor="accent5" w:themeShade="BF"/>
                <w:sz w:val="20"/>
                <w:szCs w:val="18"/>
              </w:rPr>
              <w:t>for lecture/critic payments</w:t>
            </w:r>
          </w:p>
          <w:p w:rsidR="00E37D33" w:rsidRDefault="00E37D33" w:rsidP="005F51A1">
            <w:pPr>
              <w:pStyle w:val="ListParagraph"/>
              <w:numPr>
                <w:ilvl w:val="0"/>
                <w:numId w:val="1"/>
              </w:numPr>
              <w:ind w:left="504"/>
              <w:rPr>
                <w:rFonts w:ascii="Palatino Linotype" w:hAnsi="Palatino Linotype"/>
                <w:i/>
                <w:color w:val="2F5496" w:themeColor="accent5" w:themeShade="BF"/>
                <w:sz w:val="20"/>
                <w:szCs w:val="18"/>
              </w:rPr>
            </w:pPr>
            <w:r w:rsidRPr="005F51A1">
              <w:rPr>
                <w:rFonts w:ascii="Palatino Linotype" w:hAnsi="Palatino Linotype"/>
                <w:color w:val="2F5496" w:themeColor="accent5" w:themeShade="BF"/>
                <w:sz w:val="20"/>
                <w:szCs w:val="18"/>
              </w:rPr>
              <w:t>Travel may be arranged/reimbursed-</w:t>
            </w:r>
            <w:r w:rsidRPr="005F51A1">
              <w:rPr>
                <w:rFonts w:ascii="Palatino Linotype" w:hAnsi="Palatino Linotype"/>
                <w:i/>
                <w:color w:val="2F5496" w:themeColor="accent5" w:themeShade="BF"/>
                <w:sz w:val="20"/>
                <w:szCs w:val="18"/>
              </w:rPr>
              <w:t>subject to Penn Policy and Procedure</w:t>
            </w:r>
          </w:p>
          <w:p w:rsidR="005F51A1" w:rsidRPr="005F51A1" w:rsidRDefault="005F51A1" w:rsidP="005F51A1">
            <w:pPr>
              <w:pStyle w:val="ListParagraph"/>
              <w:numPr>
                <w:ilvl w:val="0"/>
                <w:numId w:val="1"/>
              </w:numPr>
              <w:ind w:left="504"/>
              <w:rPr>
                <w:rFonts w:ascii="Palatino Linotype" w:hAnsi="Palatino Linotype"/>
                <w:color w:val="2F5496" w:themeColor="accent5" w:themeShade="BF"/>
                <w:sz w:val="20"/>
                <w:szCs w:val="18"/>
              </w:rPr>
            </w:pPr>
            <w:r w:rsidRPr="005F51A1">
              <w:rPr>
                <w:rFonts w:ascii="Palatino Linotype" w:hAnsi="Palatino Linotype"/>
                <w:color w:val="2F5496" w:themeColor="accent5" w:themeShade="BF"/>
                <w:sz w:val="20"/>
                <w:szCs w:val="18"/>
              </w:rPr>
              <w:t>An honorarium is an unallowable charge against a federal research contract or grant.</w:t>
            </w:r>
          </w:p>
          <w:p w:rsidR="00E37D33" w:rsidRPr="00E15042" w:rsidRDefault="00E37D33" w:rsidP="00E37D33">
            <w:pPr>
              <w:pStyle w:val="ListParagraph"/>
              <w:rPr>
                <w:rFonts w:ascii="Palatino Linotype" w:hAnsi="Palatino Linotype"/>
                <w:color w:val="2F5496" w:themeColor="accent5" w:themeShade="BF"/>
                <w:sz w:val="20"/>
                <w:szCs w:val="20"/>
              </w:rPr>
            </w:pPr>
          </w:p>
          <w:p w:rsidR="006F1138" w:rsidRPr="00E15042" w:rsidRDefault="006F1138" w:rsidP="00C429FD">
            <w:pPr>
              <w:rPr>
                <w:rFonts w:ascii="Palatino Linotype" w:hAnsi="Palatino Linotype"/>
                <w:color w:val="2F5496" w:themeColor="accent5" w:themeShade="BF"/>
              </w:rPr>
            </w:pPr>
          </w:p>
        </w:tc>
        <w:tc>
          <w:tcPr>
            <w:tcW w:w="5228" w:type="dxa"/>
            <w:tcBorders>
              <w:top w:val="single" w:sz="4" w:space="0" w:color="auto"/>
            </w:tcBorders>
          </w:tcPr>
          <w:p w:rsidR="00C429FD" w:rsidRPr="000B3782" w:rsidRDefault="00F63F9D" w:rsidP="00F130DD">
            <w:pPr>
              <w:jc w:val="center"/>
              <w:rPr>
                <w:rFonts w:ascii="Palatino Linotype" w:hAnsi="Palatino Linotype"/>
                <w:color w:val="2F5496" w:themeColor="accent5" w:themeShade="BF"/>
                <w:sz w:val="24"/>
                <w:szCs w:val="18"/>
              </w:rPr>
            </w:pPr>
            <w:r w:rsidRPr="000B3782">
              <w:rPr>
                <w:rFonts w:ascii="Palatino Linotype" w:hAnsi="Palatino Linotype"/>
                <w:b/>
                <w:color w:val="2F5496" w:themeColor="accent5" w:themeShade="BF"/>
                <w:sz w:val="24"/>
                <w:szCs w:val="18"/>
              </w:rPr>
              <w:t xml:space="preserve">Prizes &amp; </w:t>
            </w:r>
            <w:r w:rsidR="0062487B" w:rsidRPr="000B3782">
              <w:rPr>
                <w:rFonts w:ascii="Palatino Linotype" w:hAnsi="Palatino Linotype"/>
                <w:b/>
                <w:color w:val="2F5496" w:themeColor="accent5" w:themeShade="BF"/>
                <w:sz w:val="24"/>
                <w:szCs w:val="18"/>
              </w:rPr>
              <w:t>Award</w:t>
            </w:r>
          </w:p>
          <w:p w:rsidR="0083337D" w:rsidRPr="005F51A1" w:rsidRDefault="00DD5372" w:rsidP="00F130DD">
            <w:pPr>
              <w:jc w:val="center"/>
              <w:rPr>
                <w:rFonts w:ascii="Palatino Linotype" w:hAnsi="Palatino Linotype"/>
                <w:color w:val="2F5496" w:themeColor="accent5" w:themeShade="BF"/>
                <w:sz w:val="20"/>
                <w:szCs w:val="18"/>
              </w:rPr>
            </w:pPr>
            <w:r w:rsidRPr="005F51A1">
              <w:rPr>
                <w:rFonts w:ascii="Palatino Linotype" w:hAnsi="Palatino Linotype"/>
                <w:color w:val="2F5496" w:themeColor="accent5" w:themeShade="BF"/>
                <w:sz w:val="20"/>
                <w:szCs w:val="18"/>
              </w:rPr>
              <w:t>Penn Affiliate or External Candidate</w:t>
            </w:r>
          </w:p>
          <w:p w:rsidR="006562EF" w:rsidRPr="005F51A1" w:rsidRDefault="006562EF" w:rsidP="006562EF">
            <w:pPr>
              <w:jc w:val="center"/>
              <w:rPr>
                <w:rFonts w:ascii="Palatino Linotype" w:hAnsi="Palatino Linotype"/>
                <w:color w:val="2F5496" w:themeColor="accent5" w:themeShade="BF"/>
                <w:sz w:val="20"/>
                <w:szCs w:val="18"/>
              </w:rPr>
            </w:pPr>
            <w:r w:rsidRPr="005F51A1">
              <w:rPr>
                <w:rFonts w:ascii="Palatino Linotype" w:hAnsi="Palatino Linotype"/>
                <w:color w:val="2F5496" w:themeColor="accent5" w:themeShade="BF"/>
                <w:sz w:val="20"/>
                <w:szCs w:val="18"/>
              </w:rPr>
              <w:t xml:space="preserve">Object Code: </w:t>
            </w:r>
            <w:r w:rsidRPr="005F51A1">
              <w:rPr>
                <w:rFonts w:ascii="Palatino Linotype" w:hAnsi="Palatino Linotype"/>
                <w:b/>
                <w:color w:val="2F5496" w:themeColor="accent5" w:themeShade="BF"/>
                <w:sz w:val="20"/>
                <w:szCs w:val="18"/>
              </w:rPr>
              <w:t>5344</w:t>
            </w:r>
          </w:p>
          <w:p w:rsidR="00F130DD" w:rsidRPr="005F51A1" w:rsidRDefault="00F130DD" w:rsidP="00C429FD">
            <w:pPr>
              <w:rPr>
                <w:rFonts w:ascii="Palatino Linotype" w:hAnsi="Palatino Linotype"/>
                <w:color w:val="2F5496" w:themeColor="accent5" w:themeShade="BF"/>
                <w:sz w:val="12"/>
                <w:szCs w:val="18"/>
              </w:rPr>
            </w:pPr>
          </w:p>
          <w:p w:rsidR="00C95672" w:rsidRPr="005F51A1" w:rsidRDefault="00A973A4" w:rsidP="00C95672">
            <w:pPr>
              <w:rPr>
                <w:rFonts w:ascii="Palatino Linotype" w:hAnsi="Palatino Linotype"/>
                <w:color w:val="2F5496" w:themeColor="accent5" w:themeShade="BF"/>
                <w:sz w:val="20"/>
                <w:szCs w:val="18"/>
              </w:rPr>
            </w:pPr>
            <w:r w:rsidRPr="005F51A1">
              <w:rPr>
                <w:rFonts w:ascii="Palatino Linotype" w:hAnsi="Palatino Linotype"/>
                <w:b/>
                <w:color w:val="2F5496" w:themeColor="accent5" w:themeShade="BF"/>
                <w:sz w:val="20"/>
                <w:szCs w:val="18"/>
              </w:rPr>
              <w:t>Description</w:t>
            </w:r>
            <w:r w:rsidR="002B5678" w:rsidRPr="005F51A1">
              <w:rPr>
                <w:rFonts w:ascii="Palatino Linotype" w:hAnsi="Palatino Linotype"/>
                <w:b/>
                <w:color w:val="2F5496" w:themeColor="accent5" w:themeShade="BF"/>
                <w:sz w:val="20"/>
                <w:szCs w:val="18"/>
              </w:rPr>
              <w:t>:</w:t>
            </w:r>
            <w:r w:rsidR="00C95672" w:rsidRPr="005F51A1">
              <w:rPr>
                <w:rFonts w:ascii="Palatino Linotype" w:hAnsi="Palatino Linotype"/>
                <w:b/>
                <w:color w:val="2F5496" w:themeColor="accent5" w:themeShade="BF"/>
                <w:sz w:val="20"/>
                <w:szCs w:val="18"/>
              </w:rPr>
              <w:t xml:space="preserve"> </w:t>
            </w:r>
            <w:r w:rsidR="00C95672" w:rsidRPr="00761F18">
              <w:rPr>
                <w:rFonts w:ascii="Palatino Linotype" w:hAnsi="Palatino Linotype"/>
                <w:b/>
                <w:color w:val="2F5496" w:themeColor="accent5" w:themeShade="BF"/>
                <w:sz w:val="20"/>
                <w:szCs w:val="18"/>
              </w:rPr>
              <w:t>Prizes &amp; Awards</w:t>
            </w:r>
            <w:r w:rsidR="00C95672" w:rsidRPr="005F51A1">
              <w:rPr>
                <w:rFonts w:ascii="Palatino Linotype" w:hAnsi="Palatino Linotype"/>
                <w:color w:val="2F5496" w:themeColor="accent5" w:themeShade="BF"/>
                <w:sz w:val="20"/>
                <w:szCs w:val="18"/>
              </w:rPr>
              <w:t>. Payme</w:t>
            </w:r>
            <w:r w:rsidR="00761F18">
              <w:rPr>
                <w:rFonts w:ascii="Palatino Linotype" w:hAnsi="Palatino Linotype"/>
                <w:color w:val="2F5496" w:themeColor="accent5" w:themeShade="BF"/>
                <w:sz w:val="20"/>
                <w:szCs w:val="18"/>
              </w:rPr>
              <w:t xml:space="preserve">nts to non-employee individuals </w:t>
            </w:r>
            <w:r w:rsidR="00C95672" w:rsidRPr="005F51A1">
              <w:rPr>
                <w:rFonts w:ascii="Palatino Linotype" w:hAnsi="Palatino Linotype"/>
                <w:color w:val="2F5496" w:themeColor="accent5" w:themeShade="BF"/>
                <w:sz w:val="20"/>
                <w:szCs w:val="18"/>
              </w:rPr>
              <w:t>primarily in recognition of religious, charitable, scientific,</w:t>
            </w:r>
            <w:r w:rsidR="005F51A1">
              <w:rPr>
                <w:rFonts w:ascii="Palatino Linotype" w:hAnsi="Palatino Linotype"/>
                <w:color w:val="2F5496" w:themeColor="accent5" w:themeShade="BF"/>
                <w:sz w:val="20"/>
                <w:szCs w:val="18"/>
              </w:rPr>
              <w:t xml:space="preserve"> </w:t>
            </w:r>
            <w:r w:rsidR="00C95672" w:rsidRPr="005F51A1">
              <w:rPr>
                <w:rFonts w:ascii="Palatino Linotype" w:hAnsi="Palatino Linotype"/>
                <w:color w:val="2F5496" w:themeColor="accent5" w:themeShade="BF"/>
                <w:sz w:val="20"/>
                <w:szCs w:val="18"/>
              </w:rPr>
              <w:t xml:space="preserve">educational, artistic, literary, or civic achievement or as the result of entering a contest, and </w:t>
            </w:r>
            <w:r w:rsidR="00C95672" w:rsidRPr="00761F18">
              <w:rPr>
                <w:rFonts w:ascii="Palatino Linotype" w:hAnsi="Palatino Linotype"/>
                <w:color w:val="2F5496" w:themeColor="accent5" w:themeShade="BF"/>
                <w:sz w:val="20"/>
                <w:szCs w:val="18"/>
              </w:rPr>
              <w:t>not for performing a service</w:t>
            </w:r>
            <w:r w:rsidR="00C95672" w:rsidRPr="005F51A1">
              <w:rPr>
                <w:rFonts w:ascii="Palatino Linotype" w:hAnsi="Palatino Linotype"/>
                <w:color w:val="2F5496" w:themeColor="accent5" w:themeShade="BF"/>
                <w:sz w:val="20"/>
                <w:szCs w:val="18"/>
              </w:rPr>
              <w:t>.</w:t>
            </w:r>
          </w:p>
          <w:p w:rsidR="00761F18" w:rsidRPr="00761F18" w:rsidRDefault="00761F18" w:rsidP="002B5678">
            <w:pPr>
              <w:rPr>
                <w:rFonts w:ascii="Palatino Linotype" w:hAnsi="Palatino Linotype"/>
                <w:b/>
                <w:color w:val="2F5496" w:themeColor="accent5" w:themeShade="BF"/>
                <w:sz w:val="12"/>
                <w:szCs w:val="18"/>
              </w:rPr>
            </w:pPr>
          </w:p>
          <w:p w:rsidR="00F63F9D" w:rsidRPr="005F51A1" w:rsidRDefault="005F51A1" w:rsidP="002B5678">
            <w:pPr>
              <w:rPr>
                <w:rFonts w:ascii="Palatino Linotype" w:hAnsi="Palatino Linotype"/>
                <w:b/>
                <w:color w:val="2F5496" w:themeColor="accent5" w:themeShade="BF"/>
                <w:sz w:val="20"/>
                <w:szCs w:val="18"/>
              </w:rPr>
            </w:pPr>
            <w:r>
              <w:rPr>
                <w:rFonts w:ascii="Palatino Linotype" w:hAnsi="Palatino Linotype"/>
                <w:b/>
                <w:color w:val="2F5496" w:themeColor="accent5" w:themeShade="BF"/>
                <w:sz w:val="20"/>
                <w:szCs w:val="18"/>
              </w:rPr>
              <w:t>Approved U</w:t>
            </w:r>
            <w:r w:rsidR="002B5678" w:rsidRPr="005F51A1">
              <w:rPr>
                <w:rFonts w:ascii="Palatino Linotype" w:hAnsi="Palatino Linotype"/>
                <w:b/>
                <w:color w:val="2F5496" w:themeColor="accent5" w:themeShade="BF"/>
                <w:sz w:val="20"/>
                <w:szCs w:val="18"/>
              </w:rPr>
              <w:t>se:</w:t>
            </w:r>
            <w:r w:rsidR="00165E69" w:rsidRPr="005F51A1">
              <w:rPr>
                <w:rFonts w:ascii="Palatino Linotype" w:hAnsi="Palatino Linotype"/>
                <w:b/>
                <w:color w:val="2F5496" w:themeColor="accent5" w:themeShade="BF"/>
                <w:sz w:val="20"/>
                <w:szCs w:val="18"/>
              </w:rPr>
              <w:t xml:space="preserve"> </w:t>
            </w:r>
          </w:p>
          <w:p w:rsidR="002B5678" w:rsidRPr="005F51A1" w:rsidRDefault="00F63F9D" w:rsidP="00F63F9D">
            <w:pPr>
              <w:pStyle w:val="ListParagraph"/>
              <w:numPr>
                <w:ilvl w:val="0"/>
                <w:numId w:val="3"/>
              </w:numPr>
              <w:rPr>
                <w:rFonts w:ascii="Palatino Linotype" w:hAnsi="Palatino Linotype"/>
                <w:i/>
                <w:color w:val="2F5496" w:themeColor="accent5" w:themeShade="BF"/>
                <w:sz w:val="20"/>
                <w:szCs w:val="18"/>
              </w:rPr>
            </w:pPr>
            <w:r w:rsidRPr="005F51A1">
              <w:rPr>
                <w:rFonts w:ascii="Palatino Linotype" w:hAnsi="Palatino Linotype"/>
                <w:color w:val="2F5496" w:themeColor="accent5" w:themeShade="BF"/>
                <w:sz w:val="20"/>
                <w:szCs w:val="18"/>
              </w:rPr>
              <w:t>Internal: Student awards such as year-end academic awards</w:t>
            </w:r>
            <w:r w:rsidR="0001086D" w:rsidRPr="005F51A1">
              <w:rPr>
                <w:rFonts w:ascii="Palatino Linotype" w:hAnsi="Palatino Linotype"/>
                <w:color w:val="2F5496" w:themeColor="accent5" w:themeShade="BF"/>
                <w:sz w:val="20"/>
                <w:szCs w:val="18"/>
              </w:rPr>
              <w:t xml:space="preserve"> or</w:t>
            </w:r>
            <w:r w:rsidR="00BD1C51">
              <w:rPr>
                <w:rFonts w:ascii="Palatino Linotype" w:hAnsi="Palatino Linotype"/>
                <w:color w:val="2F5496" w:themeColor="accent5" w:themeShade="BF"/>
                <w:sz w:val="20"/>
                <w:szCs w:val="18"/>
              </w:rPr>
              <w:t xml:space="preserve"> prizes i.e. </w:t>
            </w:r>
            <w:proofErr w:type="spellStart"/>
            <w:r w:rsidRPr="005F51A1">
              <w:rPr>
                <w:rFonts w:ascii="Palatino Linotype" w:hAnsi="Palatino Linotype"/>
                <w:i/>
                <w:color w:val="2F5496" w:themeColor="accent5" w:themeShade="BF"/>
                <w:sz w:val="20"/>
                <w:szCs w:val="18"/>
              </w:rPr>
              <w:t>iDesign</w:t>
            </w:r>
            <w:proofErr w:type="spellEnd"/>
            <w:r w:rsidRPr="005F51A1">
              <w:rPr>
                <w:rFonts w:ascii="Palatino Linotype" w:hAnsi="Palatino Linotype"/>
                <w:i/>
                <w:color w:val="2F5496" w:themeColor="accent5" w:themeShade="BF"/>
                <w:sz w:val="20"/>
                <w:szCs w:val="18"/>
              </w:rPr>
              <w:t xml:space="preserve"> Prize</w:t>
            </w:r>
          </w:p>
          <w:p w:rsidR="00F63F9D" w:rsidRPr="005F51A1" w:rsidRDefault="00BD1C51" w:rsidP="00F63F9D">
            <w:pPr>
              <w:pStyle w:val="ListParagraph"/>
              <w:numPr>
                <w:ilvl w:val="0"/>
                <w:numId w:val="3"/>
              </w:numPr>
              <w:rPr>
                <w:rFonts w:ascii="Palatino Linotype" w:hAnsi="Palatino Linotype"/>
                <w:color w:val="2F5496" w:themeColor="accent5" w:themeShade="BF"/>
                <w:sz w:val="20"/>
                <w:szCs w:val="18"/>
              </w:rPr>
            </w:pPr>
            <w:r>
              <w:rPr>
                <w:rFonts w:ascii="Palatino Linotype" w:hAnsi="Palatino Linotype"/>
                <w:color w:val="2F5496" w:themeColor="accent5" w:themeShade="BF"/>
                <w:sz w:val="20"/>
                <w:szCs w:val="18"/>
              </w:rPr>
              <w:t xml:space="preserve">External: i.e. the </w:t>
            </w:r>
            <w:r w:rsidR="00F63F9D" w:rsidRPr="005F51A1">
              <w:rPr>
                <w:rFonts w:ascii="Palatino Linotype" w:hAnsi="Palatino Linotype"/>
                <w:i/>
                <w:color w:val="2F5496" w:themeColor="accent5" w:themeShade="BF"/>
                <w:sz w:val="20"/>
                <w:szCs w:val="18"/>
              </w:rPr>
              <w:t>Carnot Prize</w:t>
            </w:r>
          </w:p>
          <w:p w:rsidR="00761F18" w:rsidRPr="00761F18" w:rsidRDefault="00761F18" w:rsidP="00274785">
            <w:pPr>
              <w:rPr>
                <w:rFonts w:ascii="Palatino Linotype" w:hAnsi="Palatino Linotype"/>
                <w:b/>
                <w:color w:val="2F5496" w:themeColor="accent5" w:themeShade="BF"/>
                <w:sz w:val="12"/>
                <w:szCs w:val="18"/>
              </w:rPr>
            </w:pPr>
          </w:p>
          <w:p w:rsidR="006F1138" w:rsidRPr="00E15042" w:rsidRDefault="00FA59AF" w:rsidP="00274785">
            <w:pPr>
              <w:rPr>
                <w:rFonts w:ascii="Palatino Linotype" w:hAnsi="Palatino Linotype"/>
                <w:color w:val="2F5496" w:themeColor="accent5" w:themeShade="BF"/>
                <w:sz w:val="18"/>
                <w:szCs w:val="18"/>
              </w:rPr>
            </w:pPr>
            <w:r>
              <w:rPr>
                <w:rFonts w:ascii="Palatino Linotype" w:hAnsi="Palatino Linotype"/>
                <w:b/>
                <w:color w:val="2F5496" w:themeColor="accent5" w:themeShade="BF"/>
                <w:sz w:val="20"/>
                <w:szCs w:val="18"/>
              </w:rPr>
              <w:t>Additional I</w:t>
            </w:r>
            <w:r w:rsidR="002B5678" w:rsidRPr="005F51A1">
              <w:rPr>
                <w:rFonts w:ascii="Palatino Linotype" w:hAnsi="Palatino Linotype"/>
                <w:b/>
                <w:color w:val="2F5496" w:themeColor="accent5" w:themeShade="BF"/>
                <w:sz w:val="20"/>
                <w:szCs w:val="18"/>
              </w:rPr>
              <w:t>nformation:</w:t>
            </w:r>
            <w:r w:rsidR="00F63F9D" w:rsidRPr="005F51A1">
              <w:rPr>
                <w:rFonts w:ascii="Palatino Linotype" w:hAnsi="Palatino Linotype"/>
                <w:b/>
                <w:color w:val="2F5496" w:themeColor="accent5" w:themeShade="BF"/>
                <w:sz w:val="20"/>
                <w:szCs w:val="18"/>
              </w:rPr>
              <w:t xml:space="preserve"> </w:t>
            </w:r>
            <w:r w:rsidR="00F63F9D" w:rsidRPr="005F51A1">
              <w:rPr>
                <w:rFonts w:ascii="Palatino Linotype" w:hAnsi="Palatino Linotype"/>
                <w:color w:val="2F5496" w:themeColor="accent5" w:themeShade="BF"/>
                <w:sz w:val="20"/>
                <w:szCs w:val="18"/>
              </w:rPr>
              <w:t>T</w:t>
            </w:r>
            <w:r w:rsidR="00274785" w:rsidRPr="005F51A1">
              <w:rPr>
                <w:rFonts w:ascii="Palatino Linotype" w:hAnsi="Palatino Linotype"/>
                <w:color w:val="2F5496" w:themeColor="accent5" w:themeShade="BF"/>
                <w:sz w:val="20"/>
                <w:szCs w:val="18"/>
              </w:rPr>
              <w:t>he use of prizes and awards is</w:t>
            </w:r>
            <w:r w:rsidR="00F63F9D" w:rsidRPr="005F51A1">
              <w:rPr>
                <w:rFonts w:ascii="Palatino Linotype" w:hAnsi="Palatino Linotype"/>
                <w:color w:val="2F5496" w:themeColor="accent5" w:themeShade="BF"/>
                <w:sz w:val="20"/>
                <w:szCs w:val="18"/>
              </w:rPr>
              <w:t xml:space="preserve"> not a widely used or appropriate payment type </w:t>
            </w:r>
            <w:r w:rsidR="00274785" w:rsidRPr="005F51A1">
              <w:rPr>
                <w:rFonts w:ascii="Palatino Linotype" w:hAnsi="Palatino Linotype"/>
                <w:color w:val="2F5496" w:themeColor="accent5" w:themeShade="BF"/>
                <w:sz w:val="20"/>
                <w:szCs w:val="18"/>
              </w:rPr>
              <w:t>for external individuals with</w:t>
            </w:r>
            <w:r w:rsidR="00F63F9D" w:rsidRPr="005F51A1">
              <w:rPr>
                <w:rFonts w:ascii="Palatino Linotype" w:hAnsi="Palatino Linotype"/>
                <w:color w:val="2F5496" w:themeColor="accent5" w:themeShade="BF"/>
                <w:sz w:val="20"/>
                <w:szCs w:val="18"/>
              </w:rPr>
              <w:t xml:space="preserve"> few exceptions. If you feel you may have a reason to issue an award</w:t>
            </w:r>
            <w:r w:rsidR="00274785" w:rsidRPr="005F51A1">
              <w:rPr>
                <w:rFonts w:ascii="Palatino Linotype" w:hAnsi="Palatino Linotype"/>
                <w:color w:val="2F5496" w:themeColor="accent5" w:themeShade="BF"/>
                <w:sz w:val="20"/>
                <w:szCs w:val="18"/>
              </w:rPr>
              <w:t xml:space="preserve"> to an external candidate</w:t>
            </w:r>
            <w:r w:rsidR="00F63F9D" w:rsidRPr="005F51A1">
              <w:rPr>
                <w:rFonts w:ascii="Palatino Linotype" w:hAnsi="Palatino Linotype"/>
                <w:color w:val="2F5496" w:themeColor="accent5" w:themeShade="BF"/>
                <w:sz w:val="20"/>
                <w:szCs w:val="18"/>
              </w:rPr>
              <w:t xml:space="preserve">, please check in with </w:t>
            </w:r>
            <w:r w:rsidR="00274785" w:rsidRPr="005F51A1">
              <w:rPr>
                <w:rFonts w:ascii="Palatino Linotype" w:hAnsi="Palatino Linotype"/>
                <w:color w:val="2F5496" w:themeColor="accent5" w:themeShade="BF"/>
                <w:sz w:val="20"/>
                <w:szCs w:val="18"/>
              </w:rPr>
              <w:t>the finance</w:t>
            </w:r>
            <w:r w:rsidR="00F63F9D" w:rsidRPr="005F51A1">
              <w:rPr>
                <w:rFonts w:ascii="Palatino Linotype" w:hAnsi="Palatino Linotype"/>
                <w:color w:val="2F5496" w:themeColor="accent5" w:themeShade="BF"/>
                <w:sz w:val="20"/>
                <w:szCs w:val="18"/>
              </w:rPr>
              <w:t xml:space="preserve"> o</w:t>
            </w:r>
            <w:r w:rsidR="00274785" w:rsidRPr="005F51A1">
              <w:rPr>
                <w:rFonts w:ascii="Palatino Linotype" w:hAnsi="Palatino Linotype"/>
                <w:color w:val="2F5496" w:themeColor="accent5" w:themeShade="BF"/>
                <w:sz w:val="20"/>
                <w:szCs w:val="18"/>
              </w:rPr>
              <w:t>ffice prior to issuing an award notice or paymen</w:t>
            </w:r>
            <w:r w:rsidR="00F63F9D" w:rsidRPr="005F51A1">
              <w:rPr>
                <w:rFonts w:ascii="Palatino Linotype" w:hAnsi="Palatino Linotype"/>
                <w:color w:val="2F5496" w:themeColor="accent5" w:themeShade="BF"/>
                <w:sz w:val="20"/>
                <w:szCs w:val="18"/>
              </w:rPr>
              <w:t>t</w:t>
            </w:r>
            <w:r w:rsidR="00274785" w:rsidRPr="005F51A1">
              <w:rPr>
                <w:rFonts w:ascii="Palatino Linotype" w:hAnsi="Palatino Linotype"/>
                <w:color w:val="2F5496" w:themeColor="accent5" w:themeShade="BF"/>
                <w:sz w:val="20"/>
                <w:szCs w:val="18"/>
              </w:rPr>
              <w:t xml:space="preserve"> request</w:t>
            </w:r>
            <w:r w:rsidR="00F63F9D" w:rsidRPr="005F51A1">
              <w:rPr>
                <w:rFonts w:ascii="Palatino Linotype" w:hAnsi="Palatino Linotype"/>
                <w:color w:val="2F5496" w:themeColor="accent5" w:themeShade="BF"/>
                <w:sz w:val="20"/>
                <w:szCs w:val="18"/>
              </w:rPr>
              <w:t>.</w:t>
            </w:r>
          </w:p>
        </w:tc>
      </w:tr>
    </w:tbl>
    <w:p w:rsidR="00BD1C51" w:rsidRDefault="00BD1C51" w:rsidP="00BD1C51">
      <w:pPr>
        <w:spacing w:after="0"/>
        <w:rPr>
          <w:rFonts w:ascii="Palatino Linotype" w:hAnsi="Palatino Linotype"/>
          <w:b/>
          <w:color w:val="2F5496" w:themeColor="accent5" w:themeShade="BF"/>
          <w:sz w:val="20"/>
        </w:rPr>
      </w:pPr>
    </w:p>
    <w:p w:rsidR="000B3782" w:rsidRPr="00761F18" w:rsidRDefault="005F51A1" w:rsidP="00BD1C51">
      <w:pPr>
        <w:spacing w:after="0"/>
        <w:rPr>
          <w:rFonts w:ascii="Palatino Linotype" w:hAnsi="Palatino Linotype"/>
          <w:b/>
          <w:color w:val="2F5496" w:themeColor="accent5" w:themeShade="BF"/>
          <w:sz w:val="20"/>
        </w:rPr>
      </w:pPr>
      <w:r w:rsidRPr="00761F18">
        <w:rPr>
          <w:rFonts w:ascii="Palatino Linotype" w:hAnsi="Palatino Linotype"/>
          <w:b/>
          <w:color w:val="2F5496" w:themeColor="accent5" w:themeShade="BF"/>
          <w:sz w:val="20"/>
        </w:rPr>
        <w:t>For a</w:t>
      </w:r>
      <w:r w:rsidR="000B3782" w:rsidRPr="00761F18">
        <w:rPr>
          <w:rFonts w:ascii="Palatino Linotype" w:hAnsi="Palatino Linotype"/>
          <w:b/>
          <w:color w:val="2F5496" w:themeColor="accent5" w:themeShade="BF"/>
          <w:sz w:val="20"/>
        </w:rPr>
        <w:t>dditional information</w:t>
      </w:r>
      <w:r w:rsidRPr="00761F18">
        <w:rPr>
          <w:rFonts w:ascii="Palatino Linotype" w:hAnsi="Palatino Linotype"/>
          <w:b/>
          <w:color w:val="2F5496" w:themeColor="accent5" w:themeShade="BF"/>
          <w:sz w:val="20"/>
        </w:rPr>
        <w:t>, please r</w:t>
      </w:r>
      <w:r w:rsidR="000B3782" w:rsidRPr="00761F18">
        <w:rPr>
          <w:rFonts w:ascii="Palatino Linotype" w:hAnsi="Palatino Linotype"/>
          <w:b/>
          <w:color w:val="2F5496" w:themeColor="accent5" w:themeShade="BF"/>
          <w:sz w:val="20"/>
        </w:rPr>
        <w:t>efer to Financial Policy #2</w:t>
      </w:r>
      <w:r w:rsidRPr="00761F18">
        <w:rPr>
          <w:rFonts w:ascii="Palatino Linotype" w:hAnsi="Palatino Linotype"/>
          <w:b/>
          <w:color w:val="2F5496" w:themeColor="accent5" w:themeShade="BF"/>
          <w:sz w:val="20"/>
        </w:rPr>
        <w:t>3</w:t>
      </w:r>
      <w:r w:rsidR="000B3782" w:rsidRPr="00761F18">
        <w:rPr>
          <w:rFonts w:ascii="Palatino Linotype" w:hAnsi="Palatino Linotype"/>
          <w:b/>
          <w:color w:val="2F5496" w:themeColor="accent5" w:themeShade="BF"/>
          <w:sz w:val="20"/>
        </w:rPr>
        <w:t>19</w:t>
      </w:r>
      <w:r w:rsidRPr="00761F18">
        <w:rPr>
          <w:rFonts w:ascii="Palatino Linotype" w:hAnsi="Palatino Linotype"/>
          <w:b/>
          <w:color w:val="2F5496" w:themeColor="accent5" w:themeShade="BF"/>
          <w:sz w:val="20"/>
        </w:rPr>
        <w:t xml:space="preserve"> </w:t>
      </w:r>
      <w:hyperlink r:id="rId8" w:history="1">
        <w:r w:rsidRPr="00761F18">
          <w:rPr>
            <w:rStyle w:val="Hyperlink"/>
            <w:rFonts w:ascii="Palatino Linotype" w:hAnsi="Palatino Linotype"/>
            <w:b/>
            <w:color w:val="034990" w:themeColor="hyperlink" w:themeShade="BF"/>
            <w:sz w:val="20"/>
          </w:rPr>
          <w:t>Individual Payments</w:t>
        </w:r>
      </w:hyperlink>
    </w:p>
    <w:sectPr w:rsidR="000B3782" w:rsidRPr="00761F18" w:rsidSect="001C530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2B8B"/>
    <w:multiLevelType w:val="hybridMultilevel"/>
    <w:tmpl w:val="4166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25C5F"/>
    <w:multiLevelType w:val="hybridMultilevel"/>
    <w:tmpl w:val="048A83E0"/>
    <w:lvl w:ilvl="0" w:tplc="B3D4648A">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5723545"/>
    <w:multiLevelType w:val="hybridMultilevel"/>
    <w:tmpl w:val="93049B38"/>
    <w:lvl w:ilvl="0" w:tplc="5B7AEB3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E1C6838"/>
    <w:multiLevelType w:val="hybridMultilevel"/>
    <w:tmpl w:val="90383514"/>
    <w:lvl w:ilvl="0" w:tplc="B4DE407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1CC"/>
    <w:rsid w:val="0001086D"/>
    <w:rsid w:val="000A4F86"/>
    <w:rsid w:val="000B3782"/>
    <w:rsid w:val="00133CF9"/>
    <w:rsid w:val="00147F99"/>
    <w:rsid w:val="00165E69"/>
    <w:rsid w:val="001A00F1"/>
    <w:rsid w:val="001B121A"/>
    <w:rsid w:val="001B49A9"/>
    <w:rsid w:val="001C5307"/>
    <w:rsid w:val="002606B0"/>
    <w:rsid w:val="00274785"/>
    <w:rsid w:val="00277893"/>
    <w:rsid w:val="002A4D7F"/>
    <w:rsid w:val="002B0E10"/>
    <w:rsid w:val="002B5678"/>
    <w:rsid w:val="002F1595"/>
    <w:rsid w:val="00323BD4"/>
    <w:rsid w:val="003674B6"/>
    <w:rsid w:val="00482EEC"/>
    <w:rsid w:val="00540D27"/>
    <w:rsid w:val="00557186"/>
    <w:rsid w:val="005F51A1"/>
    <w:rsid w:val="0062487B"/>
    <w:rsid w:val="006562EF"/>
    <w:rsid w:val="00662A5C"/>
    <w:rsid w:val="006A71CC"/>
    <w:rsid w:val="006B27B7"/>
    <w:rsid w:val="006E2E40"/>
    <w:rsid w:val="006F1138"/>
    <w:rsid w:val="006F32A8"/>
    <w:rsid w:val="00750C3A"/>
    <w:rsid w:val="00761F18"/>
    <w:rsid w:val="007A2AFA"/>
    <w:rsid w:val="007F0010"/>
    <w:rsid w:val="008236F3"/>
    <w:rsid w:val="00824191"/>
    <w:rsid w:val="0083337D"/>
    <w:rsid w:val="00871878"/>
    <w:rsid w:val="008858B0"/>
    <w:rsid w:val="008D1BA8"/>
    <w:rsid w:val="008E47AD"/>
    <w:rsid w:val="008E4D49"/>
    <w:rsid w:val="00934FF7"/>
    <w:rsid w:val="009354FD"/>
    <w:rsid w:val="00955877"/>
    <w:rsid w:val="009A5470"/>
    <w:rsid w:val="009B0C0D"/>
    <w:rsid w:val="00A87F25"/>
    <w:rsid w:val="00A9398D"/>
    <w:rsid w:val="00A973A4"/>
    <w:rsid w:val="00AF3241"/>
    <w:rsid w:val="00AF74CA"/>
    <w:rsid w:val="00B62FA8"/>
    <w:rsid w:val="00BA121B"/>
    <w:rsid w:val="00BD1C51"/>
    <w:rsid w:val="00BD6FB1"/>
    <w:rsid w:val="00C25A03"/>
    <w:rsid w:val="00C27FDD"/>
    <w:rsid w:val="00C429FD"/>
    <w:rsid w:val="00C95672"/>
    <w:rsid w:val="00CA258A"/>
    <w:rsid w:val="00CA3D4B"/>
    <w:rsid w:val="00CB19CE"/>
    <w:rsid w:val="00CB4B53"/>
    <w:rsid w:val="00D636DA"/>
    <w:rsid w:val="00D769E3"/>
    <w:rsid w:val="00D869F3"/>
    <w:rsid w:val="00DB6F26"/>
    <w:rsid w:val="00DD5372"/>
    <w:rsid w:val="00DF3B75"/>
    <w:rsid w:val="00E15042"/>
    <w:rsid w:val="00E21576"/>
    <w:rsid w:val="00E37D33"/>
    <w:rsid w:val="00EA30A9"/>
    <w:rsid w:val="00EF32EC"/>
    <w:rsid w:val="00F130DD"/>
    <w:rsid w:val="00F308B5"/>
    <w:rsid w:val="00F63F9D"/>
    <w:rsid w:val="00FA59AF"/>
    <w:rsid w:val="00FF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E7680"/>
  <w15:chartTrackingRefBased/>
  <w15:docId w15:val="{0FFDA36D-610F-4198-923C-2A92E9A7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1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49A9"/>
    <w:pPr>
      <w:ind w:left="720"/>
      <w:contextualSpacing/>
    </w:pPr>
  </w:style>
  <w:style w:type="character" w:styleId="Hyperlink">
    <w:name w:val="Hyperlink"/>
    <w:basedOn w:val="DefaultParagraphFont"/>
    <w:uiPriority w:val="99"/>
    <w:unhideWhenUsed/>
    <w:rsid w:val="002F1595"/>
    <w:rPr>
      <w:color w:val="0563C1" w:themeColor="hyperlink"/>
      <w:u w:val="single"/>
    </w:rPr>
  </w:style>
  <w:style w:type="character" w:customStyle="1" w:styleId="tx">
    <w:name w:val="tx"/>
    <w:basedOn w:val="DefaultParagraphFont"/>
    <w:rsid w:val="00E21576"/>
  </w:style>
  <w:style w:type="character" w:styleId="FollowedHyperlink">
    <w:name w:val="FollowedHyperlink"/>
    <w:basedOn w:val="DefaultParagraphFont"/>
    <w:uiPriority w:val="99"/>
    <w:semiHidden/>
    <w:unhideWhenUsed/>
    <w:rsid w:val="001C5307"/>
    <w:rPr>
      <w:color w:val="954F72" w:themeColor="followedHyperlink"/>
      <w:u w:val="single"/>
    </w:rPr>
  </w:style>
  <w:style w:type="paragraph" w:styleId="BalloonText">
    <w:name w:val="Balloon Text"/>
    <w:basedOn w:val="Normal"/>
    <w:link w:val="BalloonTextChar"/>
    <w:uiPriority w:val="99"/>
    <w:semiHidden/>
    <w:unhideWhenUsed/>
    <w:rsid w:val="00FA5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9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865085">
      <w:bodyDiv w:val="1"/>
      <w:marLeft w:val="0"/>
      <w:marRight w:val="0"/>
      <w:marTop w:val="0"/>
      <w:marBottom w:val="0"/>
      <w:divBdr>
        <w:top w:val="none" w:sz="0" w:space="0" w:color="auto"/>
        <w:left w:val="none" w:sz="0" w:space="0" w:color="auto"/>
        <w:bottom w:val="none" w:sz="0" w:space="0" w:color="auto"/>
        <w:right w:val="none" w:sz="0" w:space="0" w:color="auto"/>
      </w:divBdr>
      <w:divsChild>
        <w:div w:id="2008510972">
          <w:marLeft w:val="0"/>
          <w:marRight w:val="0"/>
          <w:marTop w:val="0"/>
          <w:marBottom w:val="0"/>
          <w:divBdr>
            <w:top w:val="none" w:sz="0" w:space="0" w:color="auto"/>
            <w:left w:val="none" w:sz="0" w:space="0" w:color="auto"/>
            <w:bottom w:val="none" w:sz="0" w:space="0" w:color="auto"/>
            <w:right w:val="none" w:sz="0" w:space="0" w:color="auto"/>
          </w:divBdr>
        </w:div>
        <w:div w:id="51926503">
          <w:marLeft w:val="0"/>
          <w:marRight w:val="0"/>
          <w:marTop w:val="0"/>
          <w:marBottom w:val="0"/>
          <w:divBdr>
            <w:top w:val="none" w:sz="0" w:space="0" w:color="auto"/>
            <w:left w:val="none" w:sz="0" w:space="0" w:color="auto"/>
            <w:bottom w:val="none" w:sz="0" w:space="0" w:color="auto"/>
            <w:right w:val="none" w:sz="0" w:space="0" w:color="auto"/>
          </w:divBdr>
        </w:div>
      </w:divsChild>
    </w:div>
    <w:div w:id="676352581">
      <w:bodyDiv w:val="1"/>
      <w:marLeft w:val="0"/>
      <w:marRight w:val="0"/>
      <w:marTop w:val="0"/>
      <w:marBottom w:val="0"/>
      <w:divBdr>
        <w:top w:val="none" w:sz="0" w:space="0" w:color="auto"/>
        <w:left w:val="none" w:sz="0" w:space="0" w:color="auto"/>
        <w:bottom w:val="none" w:sz="0" w:space="0" w:color="auto"/>
        <w:right w:val="none" w:sz="0" w:space="0" w:color="auto"/>
      </w:divBdr>
      <w:divsChild>
        <w:div w:id="227960553">
          <w:marLeft w:val="0"/>
          <w:marRight w:val="0"/>
          <w:marTop w:val="0"/>
          <w:marBottom w:val="0"/>
          <w:divBdr>
            <w:top w:val="none" w:sz="0" w:space="0" w:color="auto"/>
            <w:left w:val="none" w:sz="0" w:space="0" w:color="auto"/>
            <w:bottom w:val="none" w:sz="0" w:space="0" w:color="auto"/>
            <w:right w:val="none" w:sz="0" w:space="0" w:color="auto"/>
          </w:divBdr>
        </w:div>
        <w:div w:id="280773123">
          <w:marLeft w:val="0"/>
          <w:marRight w:val="0"/>
          <w:marTop w:val="0"/>
          <w:marBottom w:val="0"/>
          <w:divBdr>
            <w:top w:val="none" w:sz="0" w:space="0" w:color="auto"/>
            <w:left w:val="none" w:sz="0" w:space="0" w:color="auto"/>
            <w:bottom w:val="none" w:sz="0" w:space="0" w:color="auto"/>
            <w:right w:val="none" w:sz="0" w:space="0" w:color="auto"/>
          </w:divBdr>
        </w:div>
        <w:div w:id="296033883">
          <w:marLeft w:val="0"/>
          <w:marRight w:val="0"/>
          <w:marTop w:val="0"/>
          <w:marBottom w:val="0"/>
          <w:divBdr>
            <w:top w:val="none" w:sz="0" w:space="0" w:color="auto"/>
            <w:left w:val="none" w:sz="0" w:space="0" w:color="auto"/>
            <w:bottom w:val="none" w:sz="0" w:space="0" w:color="auto"/>
            <w:right w:val="none" w:sz="0" w:space="0" w:color="auto"/>
          </w:divBdr>
        </w:div>
        <w:div w:id="599488200">
          <w:marLeft w:val="0"/>
          <w:marRight w:val="0"/>
          <w:marTop w:val="0"/>
          <w:marBottom w:val="0"/>
          <w:divBdr>
            <w:top w:val="none" w:sz="0" w:space="0" w:color="auto"/>
            <w:left w:val="none" w:sz="0" w:space="0" w:color="auto"/>
            <w:bottom w:val="none" w:sz="0" w:space="0" w:color="auto"/>
            <w:right w:val="none" w:sz="0" w:space="0" w:color="auto"/>
          </w:divBdr>
        </w:div>
        <w:div w:id="16855964">
          <w:marLeft w:val="0"/>
          <w:marRight w:val="0"/>
          <w:marTop w:val="0"/>
          <w:marBottom w:val="0"/>
          <w:divBdr>
            <w:top w:val="none" w:sz="0" w:space="0" w:color="auto"/>
            <w:left w:val="none" w:sz="0" w:space="0" w:color="auto"/>
            <w:bottom w:val="none" w:sz="0" w:space="0" w:color="auto"/>
            <w:right w:val="none" w:sz="0" w:space="0" w:color="auto"/>
          </w:divBdr>
        </w:div>
        <w:div w:id="149903118">
          <w:marLeft w:val="0"/>
          <w:marRight w:val="0"/>
          <w:marTop w:val="0"/>
          <w:marBottom w:val="0"/>
          <w:divBdr>
            <w:top w:val="none" w:sz="0" w:space="0" w:color="auto"/>
            <w:left w:val="none" w:sz="0" w:space="0" w:color="auto"/>
            <w:bottom w:val="none" w:sz="0" w:space="0" w:color="auto"/>
            <w:right w:val="none" w:sz="0" w:space="0" w:color="auto"/>
          </w:divBdr>
        </w:div>
        <w:div w:id="1203593449">
          <w:marLeft w:val="0"/>
          <w:marRight w:val="0"/>
          <w:marTop w:val="0"/>
          <w:marBottom w:val="0"/>
          <w:divBdr>
            <w:top w:val="none" w:sz="0" w:space="0" w:color="auto"/>
            <w:left w:val="none" w:sz="0" w:space="0" w:color="auto"/>
            <w:bottom w:val="none" w:sz="0" w:space="0" w:color="auto"/>
            <w:right w:val="none" w:sz="0" w:space="0" w:color="auto"/>
          </w:divBdr>
        </w:div>
        <w:div w:id="1884176423">
          <w:marLeft w:val="0"/>
          <w:marRight w:val="0"/>
          <w:marTop w:val="0"/>
          <w:marBottom w:val="0"/>
          <w:divBdr>
            <w:top w:val="none" w:sz="0" w:space="0" w:color="auto"/>
            <w:left w:val="none" w:sz="0" w:space="0" w:color="auto"/>
            <w:bottom w:val="none" w:sz="0" w:space="0" w:color="auto"/>
            <w:right w:val="none" w:sz="0" w:space="0" w:color="auto"/>
          </w:divBdr>
        </w:div>
      </w:divsChild>
    </w:div>
    <w:div w:id="802620801">
      <w:bodyDiv w:val="1"/>
      <w:marLeft w:val="0"/>
      <w:marRight w:val="0"/>
      <w:marTop w:val="0"/>
      <w:marBottom w:val="0"/>
      <w:divBdr>
        <w:top w:val="none" w:sz="0" w:space="0" w:color="auto"/>
        <w:left w:val="none" w:sz="0" w:space="0" w:color="auto"/>
        <w:bottom w:val="none" w:sz="0" w:space="0" w:color="auto"/>
        <w:right w:val="none" w:sz="0" w:space="0" w:color="auto"/>
      </w:divBdr>
      <w:divsChild>
        <w:div w:id="591163895">
          <w:marLeft w:val="0"/>
          <w:marRight w:val="0"/>
          <w:marTop w:val="0"/>
          <w:marBottom w:val="0"/>
          <w:divBdr>
            <w:top w:val="none" w:sz="0" w:space="0" w:color="auto"/>
            <w:left w:val="none" w:sz="0" w:space="0" w:color="auto"/>
            <w:bottom w:val="none" w:sz="0" w:space="0" w:color="auto"/>
            <w:right w:val="none" w:sz="0" w:space="0" w:color="auto"/>
          </w:divBdr>
        </w:div>
        <w:div w:id="680855309">
          <w:marLeft w:val="0"/>
          <w:marRight w:val="0"/>
          <w:marTop w:val="0"/>
          <w:marBottom w:val="0"/>
          <w:divBdr>
            <w:top w:val="none" w:sz="0" w:space="0" w:color="auto"/>
            <w:left w:val="none" w:sz="0" w:space="0" w:color="auto"/>
            <w:bottom w:val="none" w:sz="0" w:space="0" w:color="auto"/>
            <w:right w:val="none" w:sz="0" w:space="0" w:color="auto"/>
          </w:divBdr>
        </w:div>
        <w:div w:id="167599976">
          <w:marLeft w:val="0"/>
          <w:marRight w:val="0"/>
          <w:marTop w:val="0"/>
          <w:marBottom w:val="0"/>
          <w:divBdr>
            <w:top w:val="none" w:sz="0" w:space="0" w:color="auto"/>
            <w:left w:val="none" w:sz="0" w:space="0" w:color="auto"/>
            <w:bottom w:val="none" w:sz="0" w:space="0" w:color="auto"/>
            <w:right w:val="none" w:sz="0" w:space="0" w:color="auto"/>
          </w:divBdr>
        </w:div>
        <w:div w:id="975917817">
          <w:marLeft w:val="0"/>
          <w:marRight w:val="0"/>
          <w:marTop w:val="0"/>
          <w:marBottom w:val="0"/>
          <w:divBdr>
            <w:top w:val="none" w:sz="0" w:space="0" w:color="auto"/>
            <w:left w:val="none" w:sz="0" w:space="0" w:color="auto"/>
            <w:bottom w:val="none" w:sz="0" w:space="0" w:color="auto"/>
            <w:right w:val="none" w:sz="0" w:space="0" w:color="auto"/>
          </w:divBdr>
        </w:div>
        <w:div w:id="943029467">
          <w:marLeft w:val="0"/>
          <w:marRight w:val="0"/>
          <w:marTop w:val="0"/>
          <w:marBottom w:val="0"/>
          <w:divBdr>
            <w:top w:val="none" w:sz="0" w:space="0" w:color="auto"/>
            <w:left w:val="none" w:sz="0" w:space="0" w:color="auto"/>
            <w:bottom w:val="none" w:sz="0" w:space="0" w:color="auto"/>
            <w:right w:val="none" w:sz="0" w:space="0" w:color="auto"/>
          </w:divBdr>
        </w:div>
        <w:div w:id="500580758">
          <w:marLeft w:val="0"/>
          <w:marRight w:val="0"/>
          <w:marTop w:val="0"/>
          <w:marBottom w:val="0"/>
          <w:divBdr>
            <w:top w:val="none" w:sz="0" w:space="0" w:color="auto"/>
            <w:left w:val="none" w:sz="0" w:space="0" w:color="auto"/>
            <w:bottom w:val="none" w:sz="0" w:space="0" w:color="auto"/>
            <w:right w:val="none" w:sz="0" w:space="0" w:color="auto"/>
          </w:divBdr>
        </w:div>
        <w:div w:id="990721127">
          <w:marLeft w:val="0"/>
          <w:marRight w:val="0"/>
          <w:marTop w:val="0"/>
          <w:marBottom w:val="0"/>
          <w:divBdr>
            <w:top w:val="none" w:sz="0" w:space="0" w:color="auto"/>
            <w:left w:val="none" w:sz="0" w:space="0" w:color="auto"/>
            <w:bottom w:val="none" w:sz="0" w:space="0" w:color="auto"/>
            <w:right w:val="none" w:sz="0" w:space="0" w:color="auto"/>
          </w:divBdr>
        </w:div>
        <w:div w:id="1542669842">
          <w:marLeft w:val="0"/>
          <w:marRight w:val="0"/>
          <w:marTop w:val="0"/>
          <w:marBottom w:val="0"/>
          <w:divBdr>
            <w:top w:val="none" w:sz="0" w:space="0" w:color="auto"/>
            <w:left w:val="none" w:sz="0" w:space="0" w:color="auto"/>
            <w:bottom w:val="none" w:sz="0" w:space="0" w:color="auto"/>
            <w:right w:val="none" w:sz="0" w:space="0" w:color="auto"/>
          </w:divBdr>
        </w:div>
      </w:divsChild>
    </w:div>
    <w:div w:id="1256746004">
      <w:bodyDiv w:val="1"/>
      <w:marLeft w:val="0"/>
      <w:marRight w:val="0"/>
      <w:marTop w:val="0"/>
      <w:marBottom w:val="0"/>
      <w:divBdr>
        <w:top w:val="none" w:sz="0" w:space="0" w:color="auto"/>
        <w:left w:val="none" w:sz="0" w:space="0" w:color="auto"/>
        <w:bottom w:val="none" w:sz="0" w:space="0" w:color="auto"/>
        <w:right w:val="none" w:sz="0" w:space="0" w:color="auto"/>
      </w:divBdr>
      <w:divsChild>
        <w:div w:id="23678765">
          <w:marLeft w:val="0"/>
          <w:marRight w:val="0"/>
          <w:marTop w:val="0"/>
          <w:marBottom w:val="0"/>
          <w:divBdr>
            <w:top w:val="none" w:sz="0" w:space="0" w:color="auto"/>
            <w:left w:val="none" w:sz="0" w:space="0" w:color="auto"/>
            <w:bottom w:val="none" w:sz="0" w:space="0" w:color="auto"/>
            <w:right w:val="none" w:sz="0" w:space="0" w:color="auto"/>
          </w:divBdr>
        </w:div>
        <w:div w:id="574781413">
          <w:marLeft w:val="0"/>
          <w:marRight w:val="0"/>
          <w:marTop w:val="0"/>
          <w:marBottom w:val="0"/>
          <w:divBdr>
            <w:top w:val="none" w:sz="0" w:space="0" w:color="auto"/>
            <w:left w:val="none" w:sz="0" w:space="0" w:color="auto"/>
            <w:bottom w:val="none" w:sz="0" w:space="0" w:color="auto"/>
            <w:right w:val="none" w:sz="0" w:space="0" w:color="auto"/>
          </w:divBdr>
        </w:div>
        <w:div w:id="883054333">
          <w:marLeft w:val="0"/>
          <w:marRight w:val="0"/>
          <w:marTop w:val="0"/>
          <w:marBottom w:val="0"/>
          <w:divBdr>
            <w:top w:val="none" w:sz="0" w:space="0" w:color="auto"/>
            <w:left w:val="none" w:sz="0" w:space="0" w:color="auto"/>
            <w:bottom w:val="none" w:sz="0" w:space="0" w:color="auto"/>
            <w:right w:val="none" w:sz="0" w:space="0" w:color="auto"/>
          </w:divBdr>
        </w:div>
        <w:div w:id="1128012270">
          <w:marLeft w:val="0"/>
          <w:marRight w:val="0"/>
          <w:marTop w:val="0"/>
          <w:marBottom w:val="0"/>
          <w:divBdr>
            <w:top w:val="none" w:sz="0" w:space="0" w:color="auto"/>
            <w:left w:val="none" w:sz="0" w:space="0" w:color="auto"/>
            <w:bottom w:val="none" w:sz="0" w:space="0" w:color="auto"/>
            <w:right w:val="none" w:sz="0" w:space="0" w:color="auto"/>
          </w:divBdr>
        </w:div>
        <w:div w:id="1212767048">
          <w:marLeft w:val="0"/>
          <w:marRight w:val="0"/>
          <w:marTop w:val="0"/>
          <w:marBottom w:val="0"/>
          <w:divBdr>
            <w:top w:val="none" w:sz="0" w:space="0" w:color="auto"/>
            <w:left w:val="none" w:sz="0" w:space="0" w:color="auto"/>
            <w:bottom w:val="none" w:sz="0" w:space="0" w:color="auto"/>
            <w:right w:val="none" w:sz="0" w:space="0" w:color="auto"/>
          </w:divBdr>
        </w:div>
        <w:div w:id="249657814">
          <w:marLeft w:val="0"/>
          <w:marRight w:val="0"/>
          <w:marTop w:val="0"/>
          <w:marBottom w:val="0"/>
          <w:divBdr>
            <w:top w:val="none" w:sz="0" w:space="0" w:color="auto"/>
            <w:left w:val="none" w:sz="0" w:space="0" w:color="auto"/>
            <w:bottom w:val="none" w:sz="0" w:space="0" w:color="auto"/>
            <w:right w:val="none" w:sz="0" w:space="0" w:color="auto"/>
          </w:divBdr>
        </w:div>
        <w:div w:id="1129935602">
          <w:marLeft w:val="0"/>
          <w:marRight w:val="0"/>
          <w:marTop w:val="0"/>
          <w:marBottom w:val="0"/>
          <w:divBdr>
            <w:top w:val="none" w:sz="0" w:space="0" w:color="auto"/>
            <w:left w:val="none" w:sz="0" w:space="0" w:color="auto"/>
            <w:bottom w:val="none" w:sz="0" w:space="0" w:color="auto"/>
            <w:right w:val="none" w:sz="0" w:space="0" w:color="auto"/>
          </w:divBdr>
        </w:div>
        <w:div w:id="1399933906">
          <w:marLeft w:val="0"/>
          <w:marRight w:val="0"/>
          <w:marTop w:val="0"/>
          <w:marBottom w:val="0"/>
          <w:divBdr>
            <w:top w:val="none" w:sz="0" w:space="0" w:color="auto"/>
            <w:left w:val="none" w:sz="0" w:space="0" w:color="auto"/>
            <w:bottom w:val="none" w:sz="0" w:space="0" w:color="auto"/>
            <w:right w:val="none" w:sz="0" w:space="0" w:color="auto"/>
          </w:divBdr>
        </w:div>
        <w:div w:id="1327904618">
          <w:marLeft w:val="0"/>
          <w:marRight w:val="0"/>
          <w:marTop w:val="0"/>
          <w:marBottom w:val="0"/>
          <w:divBdr>
            <w:top w:val="none" w:sz="0" w:space="0" w:color="auto"/>
            <w:left w:val="none" w:sz="0" w:space="0" w:color="auto"/>
            <w:bottom w:val="none" w:sz="0" w:space="0" w:color="auto"/>
            <w:right w:val="none" w:sz="0" w:space="0" w:color="auto"/>
          </w:divBdr>
        </w:div>
        <w:div w:id="117378647">
          <w:marLeft w:val="0"/>
          <w:marRight w:val="0"/>
          <w:marTop w:val="0"/>
          <w:marBottom w:val="0"/>
          <w:divBdr>
            <w:top w:val="none" w:sz="0" w:space="0" w:color="auto"/>
            <w:left w:val="none" w:sz="0" w:space="0" w:color="auto"/>
            <w:bottom w:val="none" w:sz="0" w:space="0" w:color="auto"/>
            <w:right w:val="none" w:sz="0" w:space="0" w:color="auto"/>
          </w:divBdr>
        </w:div>
        <w:div w:id="694430128">
          <w:marLeft w:val="0"/>
          <w:marRight w:val="0"/>
          <w:marTop w:val="0"/>
          <w:marBottom w:val="0"/>
          <w:divBdr>
            <w:top w:val="none" w:sz="0" w:space="0" w:color="auto"/>
            <w:left w:val="none" w:sz="0" w:space="0" w:color="auto"/>
            <w:bottom w:val="none" w:sz="0" w:space="0" w:color="auto"/>
            <w:right w:val="none" w:sz="0" w:space="0" w:color="auto"/>
          </w:divBdr>
        </w:div>
        <w:div w:id="1673874505">
          <w:marLeft w:val="0"/>
          <w:marRight w:val="0"/>
          <w:marTop w:val="0"/>
          <w:marBottom w:val="0"/>
          <w:divBdr>
            <w:top w:val="none" w:sz="0" w:space="0" w:color="auto"/>
            <w:left w:val="none" w:sz="0" w:space="0" w:color="auto"/>
            <w:bottom w:val="none" w:sz="0" w:space="0" w:color="auto"/>
            <w:right w:val="none" w:sz="0" w:space="0" w:color="auto"/>
          </w:divBdr>
        </w:div>
        <w:div w:id="570430089">
          <w:marLeft w:val="0"/>
          <w:marRight w:val="0"/>
          <w:marTop w:val="0"/>
          <w:marBottom w:val="0"/>
          <w:divBdr>
            <w:top w:val="none" w:sz="0" w:space="0" w:color="auto"/>
            <w:left w:val="none" w:sz="0" w:space="0" w:color="auto"/>
            <w:bottom w:val="none" w:sz="0" w:space="0" w:color="auto"/>
            <w:right w:val="none" w:sz="0" w:space="0" w:color="auto"/>
          </w:divBdr>
        </w:div>
        <w:div w:id="546452264">
          <w:marLeft w:val="0"/>
          <w:marRight w:val="0"/>
          <w:marTop w:val="0"/>
          <w:marBottom w:val="0"/>
          <w:divBdr>
            <w:top w:val="none" w:sz="0" w:space="0" w:color="auto"/>
            <w:left w:val="none" w:sz="0" w:space="0" w:color="auto"/>
            <w:bottom w:val="none" w:sz="0" w:space="0" w:color="auto"/>
            <w:right w:val="none" w:sz="0" w:space="0" w:color="auto"/>
          </w:divBdr>
        </w:div>
        <w:div w:id="656953512">
          <w:marLeft w:val="0"/>
          <w:marRight w:val="0"/>
          <w:marTop w:val="0"/>
          <w:marBottom w:val="0"/>
          <w:divBdr>
            <w:top w:val="none" w:sz="0" w:space="0" w:color="auto"/>
            <w:left w:val="none" w:sz="0" w:space="0" w:color="auto"/>
            <w:bottom w:val="none" w:sz="0" w:space="0" w:color="auto"/>
            <w:right w:val="none" w:sz="0" w:space="0" w:color="auto"/>
          </w:divBdr>
        </w:div>
        <w:div w:id="1377663535">
          <w:marLeft w:val="0"/>
          <w:marRight w:val="0"/>
          <w:marTop w:val="0"/>
          <w:marBottom w:val="0"/>
          <w:divBdr>
            <w:top w:val="none" w:sz="0" w:space="0" w:color="auto"/>
            <w:left w:val="none" w:sz="0" w:space="0" w:color="auto"/>
            <w:bottom w:val="none" w:sz="0" w:space="0" w:color="auto"/>
            <w:right w:val="none" w:sz="0" w:space="0" w:color="auto"/>
          </w:divBdr>
        </w:div>
        <w:div w:id="242646119">
          <w:marLeft w:val="0"/>
          <w:marRight w:val="0"/>
          <w:marTop w:val="0"/>
          <w:marBottom w:val="0"/>
          <w:divBdr>
            <w:top w:val="none" w:sz="0" w:space="0" w:color="auto"/>
            <w:left w:val="none" w:sz="0" w:space="0" w:color="auto"/>
            <w:bottom w:val="none" w:sz="0" w:space="0" w:color="auto"/>
            <w:right w:val="none" w:sz="0" w:space="0" w:color="auto"/>
          </w:divBdr>
        </w:div>
        <w:div w:id="515769581">
          <w:marLeft w:val="0"/>
          <w:marRight w:val="0"/>
          <w:marTop w:val="0"/>
          <w:marBottom w:val="0"/>
          <w:divBdr>
            <w:top w:val="none" w:sz="0" w:space="0" w:color="auto"/>
            <w:left w:val="none" w:sz="0" w:space="0" w:color="auto"/>
            <w:bottom w:val="none" w:sz="0" w:space="0" w:color="auto"/>
            <w:right w:val="none" w:sz="0" w:space="0" w:color="auto"/>
          </w:divBdr>
        </w:div>
        <w:div w:id="1884445790">
          <w:marLeft w:val="0"/>
          <w:marRight w:val="0"/>
          <w:marTop w:val="0"/>
          <w:marBottom w:val="0"/>
          <w:divBdr>
            <w:top w:val="none" w:sz="0" w:space="0" w:color="auto"/>
            <w:left w:val="none" w:sz="0" w:space="0" w:color="auto"/>
            <w:bottom w:val="none" w:sz="0" w:space="0" w:color="auto"/>
            <w:right w:val="none" w:sz="0" w:space="0" w:color="auto"/>
          </w:divBdr>
        </w:div>
        <w:div w:id="807749827">
          <w:marLeft w:val="0"/>
          <w:marRight w:val="0"/>
          <w:marTop w:val="0"/>
          <w:marBottom w:val="0"/>
          <w:divBdr>
            <w:top w:val="none" w:sz="0" w:space="0" w:color="auto"/>
            <w:left w:val="none" w:sz="0" w:space="0" w:color="auto"/>
            <w:bottom w:val="none" w:sz="0" w:space="0" w:color="auto"/>
            <w:right w:val="none" w:sz="0" w:space="0" w:color="auto"/>
          </w:divBdr>
        </w:div>
        <w:div w:id="2093887636">
          <w:marLeft w:val="0"/>
          <w:marRight w:val="0"/>
          <w:marTop w:val="0"/>
          <w:marBottom w:val="0"/>
          <w:divBdr>
            <w:top w:val="none" w:sz="0" w:space="0" w:color="auto"/>
            <w:left w:val="none" w:sz="0" w:space="0" w:color="auto"/>
            <w:bottom w:val="none" w:sz="0" w:space="0" w:color="auto"/>
            <w:right w:val="none" w:sz="0" w:space="0" w:color="auto"/>
          </w:divBdr>
        </w:div>
        <w:div w:id="1152211626">
          <w:marLeft w:val="0"/>
          <w:marRight w:val="0"/>
          <w:marTop w:val="0"/>
          <w:marBottom w:val="0"/>
          <w:divBdr>
            <w:top w:val="none" w:sz="0" w:space="0" w:color="auto"/>
            <w:left w:val="none" w:sz="0" w:space="0" w:color="auto"/>
            <w:bottom w:val="none" w:sz="0" w:space="0" w:color="auto"/>
            <w:right w:val="none" w:sz="0" w:space="0" w:color="auto"/>
          </w:divBdr>
        </w:div>
      </w:divsChild>
    </w:div>
    <w:div w:id="1771120761">
      <w:bodyDiv w:val="1"/>
      <w:marLeft w:val="0"/>
      <w:marRight w:val="0"/>
      <w:marTop w:val="0"/>
      <w:marBottom w:val="0"/>
      <w:divBdr>
        <w:top w:val="none" w:sz="0" w:space="0" w:color="auto"/>
        <w:left w:val="none" w:sz="0" w:space="0" w:color="auto"/>
        <w:bottom w:val="none" w:sz="0" w:space="0" w:color="auto"/>
        <w:right w:val="none" w:sz="0" w:space="0" w:color="auto"/>
      </w:divBdr>
      <w:divsChild>
        <w:div w:id="233319864">
          <w:marLeft w:val="0"/>
          <w:marRight w:val="0"/>
          <w:marTop w:val="0"/>
          <w:marBottom w:val="0"/>
          <w:divBdr>
            <w:top w:val="none" w:sz="0" w:space="0" w:color="auto"/>
            <w:left w:val="none" w:sz="0" w:space="0" w:color="auto"/>
            <w:bottom w:val="none" w:sz="0" w:space="0" w:color="auto"/>
            <w:right w:val="none" w:sz="0" w:space="0" w:color="auto"/>
          </w:divBdr>
        </w:div>
        <w:div w:id="275335219">
          <w:marLeft w:val="0"/>
          <w:marRight w:val="0"/>
          <w:marTop w:val="0"/>
          <w:marBottom w:val="0"/>
          <w:divBdr>
            <w:top w:val="none" w:sz="0" w:space="0" w:color="auto"/>
            <w:left w:val="none" w:sz="0" w:space="0" w:color="auto"/>
            <w:bottom w:val="none" w:sz="0" w:space="0" w:color="auto"/>
            <w:right w:val="none" w:sz="0" w:space="0" w:color="auto"/>
          </w:divBdr>
        </w:div>
        <w:div w:id="1562908718">
          <w:marLeft w:val="0"/>
          <w:marRight w:val="0"/>
          <w:marTop w:val="0"/>
          <w:marBottom w:val="0"/>
          <w:divBdr>
            <w:top w:val="none" w:sz="0" w:space="0" w:color="auto"/>
            <w:left w:val="none" w:sz="0" w:space="0" w:color="auto"/>
            <w:bottom w:val="none" w:sz="0" w:space="0" w:color="auto"/>
            <w:right w:val="none" w:sz="0" w:space="0" w:color="auto"/>
          </w:divBdr>
        </w:div>
        <w:div w:id="956064694">
          <w:marLeft w:val="0"/>
          <w:marRight w:val="0"/>
          <w:marTop w:val="0"/>
          <w:marBottom w:val="0"/>
          <w:divBdr>
            <w:top w:val="none" w:sz="0" w:space="0" w:color="auto"/>
            <w:left w:val="none" w:sz="0" w:space="0" w:color="auto"/>
            <w:bottom w:val="none" w:sz="0" w:space="0" w:color="auto"/>
            <w:right w:val="none" w:sz="0" w:space="0" w:color="auto"/>
          </w:divBdr>
        </w:div>
        <w:div w:id="1460950920">
          <w:marLeft w:val="0"/>
          <w:marRight w:val="0"/>
          <w:marTop w:val="0"/>
          <w:marBottom w:val="0"/>
          <w:divBdr>
            <w:top w:val="none" w:sz="0" w:space="0" w:color="auto"/>
            <w:left w:val="none" w:sz="0" w:space="0" w:color="auto"/>
            <w:bottom w:val="none" w:sz="0" w:space="0" w:color="auto"/>
            <w:right w:val="none" w:sz="0" w:space="0" w:color="auto"/>
          </w:divBdr>
        </w:div>
        <w:div w:id="394284911">
          <w:marLeft w:val="0"/>
          <w:marRight w:val="0"/>
          <w:marTop w:val="0"/>
          <w:marBottom w:val="0"/>
          <w:divBdr>
            <w:top w:val="none" w:sz="0" w:space="0" w:color="auto"/>
            <w:left w:val="none" w:sz="0" w:space="0" w:color="auto"/>
            <w:bottom w:val="none" w:sz="0" w:space="0" w:color="auto"/>
            <w:right w:val="none" w:sz="0" w:space="0" w:color="auto"/>
          </w:divBdr>
        </w:div>
      </w:divsChild>
    </w:div>
    <w:div w:id="1862666716">
      <w:bodyDiv w:val="1"/>
      <w:marLeft w:val="0"/>
      <w:marRight w:val="0"/>
      <w:marTop w:val="0"/>
      <w:marBottom w:val="0"/>
      <w:divBdr>
        <w:top w:val="none" w:sz="0" w:space="0" w:color="auto"/>
        <w:left w:val="none" w:sz="0" w:space="0" w:color="auto"/>
        <w:bottom w:val="none" w:sz="0" w:space="0" w:color="auto"/>
        <w:right w:val="none" w:sz="0" w:space="0" w:color="auto"/>
      </w:divBdr>
      <w:divsChild>
        <w:div w:id="994065855">
          <w:marLeft w:val="0"/>
          <w:marRight w:val="0"/>
          <w:marTop w:val="0"/>
          <w:marBottom w:val="0"/>
          <w:divBdr>
            <w:top w:val="none" w:sz="0" w:space="0" w:color="auto"/>
            <w:left w:val="none" w:sz="0" w:space="0" w:color="auto"/>
            <w:bottom w:val="none" w:sz="0" w:space="0" w:color="auto"/>
            <w:right w:val="none" w:sz="0" w:space="0" w:color="auto"/>
          </w:divBdr>
        </w:div>
        <w:div w:id="1429764727">
          <w:marLeft w:val="0"/>
          <w:marRight w:val="0"/>
          <w:marTop w:val="0"/>
          <w:marBottom w:val="0"/>
          <w:divBdr>
            <w:top w:val="none" w:sz="0" w:space="0" w:color="auto"/>
            <w:left w:val="none" w:sz="0" w:space="0" w:color="auto"/>
            <w:bottom w:val="none" w:sz="0" w:space="0" w:color="auto"/>
            <w:right w:val="none" w:sz="0" w:space="0" w:color="auto"/>
          </w:divBdr>
        </w:div>
        <w:div w:id="1313363031">
          <w:marLeft w:val="0"/>
          <w:marRight w:val="0"/>
          <w:marTop w:val="0"/>
          <w:marBottom w:val="0"/>
          <w:divBdr>
            <w:top w:val="none" w:sz="0" w:space="0" w:color="auto"/>
            <w:left w:val="none" w:sz="0" w:space="0" w:color="auto"/>
            <w:bottom w:val="none" w:sz="0" w:space="0" w:color="auto"/>
            <w:right w:val="none" w:sz="0" w:space="0" w:color="auto"/>
          </w:divBdr>
        </w:div>
        <w:div w:id="826746263">
          <w:marLeft w:val="0"/>
          <w:marRight w:val="0"/>
          <w:marTop w:val="0"/>
          <w:marBottom w:val="0"/>
          <w:divBdr>
            <w:top w:val="none" w:sz="0" w:space="0" w:color="auto"/>
            <w:left w:val="none" w:sz="0" w:space="0" w:color="auto"/>
            <w:bottom w:val="none" w:sz="0" w:space="0" w:color="auto"/>
            <w:right w:val="none" w:sz="0" w:space="0" w:color="auto"/>
          </w:divBdr>
        </w:div>
        <w:div w:id="307982162">
          <w:marLeft w:val="0"/>
          <w:marRight w:val="0"/>
          <w:marTop w:val="0"/>
          <w:marBottom w:val="0"/>
          <w:divBdr>
            <w:top w:val="none" w:sz="0" w:space="0" w:color="auto"/>
            <w:left w:val="none" w:sz="0" w:space="0" w:color="auto"/>
            <w:bottom w:val="none" w:sz="0" w:space="0" w:color="auto"/>
            <w:right w:val="none" w:sz="0" w:space="0" w:color="auto"/>
          </w:divBdr>
        </w:div>
        <w:div w:id="1138769441">
          <w:marLeft w:val="0"/>
          <w:marRight w:val="0"/>
          <w:marTop w:val="0"/>
          <w:marBottom w:val="0"/>
          <w:divBdr>
            <w:top w:val="none" w:sz="0" w:space="0" w:color="auto"/>
            <w:left w:val="none" w:sz="0" w:space="0" w:color="auto"/>
            <w:bottom w:val="none" w:sz="0" w:space="0" w:color="auto"/>
            <w:right w:val="none" w:sz="0" w:space="0" w:color="auto"/>
          </w:divBdr>
        </w:div>
        <w:div w:id="194462262">
          <w:marLeft w:val="0"/>
          <w:marRight w:val="0"/>
          <w:marTop w:val="0"/>
          <w:marBottom w:val="0"/>
          <w:divBdr>
            <w:top w:val="none" w:sz="0" w:space="0" w:color="auto"/>
            <w:left w:val="none" w:sz="0" w:space="0" w:color="auto"/>
            <w:bottom w:val="none" w:sz="0" w:space="0" w:color="auto"/>
            <w:right w:val="none" w:sz="0" w:space="0" w:color="auto"/>
          </w:divBdr>
        </w:div>
        <w:div w:id="673647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e.upenn.edu/vpfinance/fpm/2300/2300_pdf/2319.pdf" TargetMode="External"/><Relationship Id="rId3" Type="http://schemas.openxmlformats.org/officeDocument/2006/relationships/styles" Target="styles.xml"/><Relationship Id="rId7" Type="http://schemas.openxmlformats.org/officeDocument/2006/relationships/hyperlink" Target="https://www.design.upenn.edu/sites/default/files/uploads/PMP%20LE%20Service%20Provider%20Guid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esign.upenn.edu/sites/default/files/uploads/Independent%20Contractors_Protocols_March%202017_0.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8FAE8-8D63-447C-AF6E-8B6E4A1CA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28BBF5F5.dotm</Template>
  <TotalTime>0</TotalTime>
  <Pages>1</Pages>
  <Words>550</Words>
  <Characters>3135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Wood</dc:creator>
  <cp:keywords/>
  <dc:description/>
  <cp:lastModifiedBy>Christine Reid</cp:lastModifiedBy>
  <cp:revision>2</cp:revision>
  <cp:lastPrinted>2018-05-22T16:48:00Z</cp:lastPrinted>
  <dcterms:created xsi:type="dcterms:W3CDTF">2018-08-21T14:58:00Z</dcterms:created>
  <dcterms:modified xsi:type="dcterms:W3CDTF">2018-08-21T14:58:00Z</dcterms:modified>
</cp:coreProperties>
</file>