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F753" w14:textId="77777777" w:rsidR="004433C5" w:rsidRPr="004668A3" w:rsidRDefault="000B15DA" w:rsidP="004433C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Weitzman</w:t>
      </w:r>
      <w:r w:rsidR="00BA006C">
        <w:rPr>
          <w:rFonts w:asciiTheme="minorHAnsi" w:hAnsiTheme="minorHAnsi" w:cstheme="minorHAnsi"/>
          <w:color w:val="002060"/>
        </w:rPr>
        <w:t xml:space="preserve"> School of Design</w:t>
      </w:r>
    </w:p>
    <w:p w14:paraId="76C608F6" w14:textId="77777777" w:rsidR="006C4028" w:rsidRPr="004668A3" w:rsidRDefault="00153E9C" w:rsidP="004F772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Faculty Research Participation</w:t>
      </w:r>
      <w:r w:rsidR="008E542C">
        <w:rPr>
          <w:rFonts w:asciiTheme="minorHAnsi" w:hAnsiTheme="minorHAnsi" w:cstheme="minorHAnsi"/>
          <w:color w:val="002060"/>
        </w:rPr>
        <w:t xml:space="preserve"> </w:t>
      </w:r>
    </w:p>
    <w:p w14:paraId="2652AF18" w14:textId="77777777" w:rsidR="006C4028" w:rsidRPr="004433C5" w:rsidRDefault="006C4028" w:rsidP="008B419E">
      <w:pPr>
        <w:pStyle w:val="Heading1"/>
        <w:rPr>
          <w:rFonts w:asciiTheme="minorHAnsi" w:hAnsiTheme="minorHAnsi" w:cstheme="minorHAnsi"/>
          <w:color w:val="002060"/>
          <w:sz w:val="28"/>
          <w:u w:val="single"/>
        </w:rPr>
      </w:pPr>
      <w:r w:rsidRPr="004433C5">
        <w:rPr>
          <w:rFonts w:asciiTheme="minorHAnsi" w:hAnsiTheme="minorHAnsi" w:cstheme="minorHAnsi"/>
          <w:color w:val="002060"/>
          <w:sz w:val="24"/>
          <w:u w:val="single"/>
        </w:rPr>
        <w:t>Purpose</w:t>
      </w:r>
      <w:r w:rsidR="008B419E" w:rsidRPr="004433C5">
        <w:rPr>
          <w:rFonts w:asciiTheme="minorHAnsi" w:hAnsiTheme="minorHAnsi" w:cstheme="minorHAnsi"/>
          <w:color w:val="002060"/>
          <w:sz w:val="28"/>
          <w:u w:val="single"/>
        </w:rPr>
        <w:t xml:space="preserve">  </w:t>
      </w:r>
    </w:p>
    <w:p w14:paraId="4D13EA95" w14:textId="77777777" w:rsidR="00AB640D" w:rsidRPr="004433C5" w:rsidRDefault="00D80BD9" w:rsidP="008B419E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Weitzman</w:t>
      </w:r>
      <w:r w:rsidR="008509F1">
        <w:rPr>
          <w:rFonts w:cstheme="minorHAnsi"/>
          <w:color w:val="002060"/>
        </w:rPr>
        <w:t xml:space="preserve"> faculty lead and </w:t>
      </w:r>
      <w:r w:rsidR="00613B74">
        <w:rPr>
          <w:rFonts w:cstheme="minorHAnsi"/>
          <w:color w:val="002060"/>
        </w:rPr>
        <w:t xml:space="preserve">actively </w:t>
      </w:r>
      <w:r w:rsidR="004571C9">
        <w:rPr>
          <w:rFonts w:cstheme="minorHAnsi"/>
          <w:color w:val="002060"/>
        </w:rPr>
        <w:t xml:space="preserve">participate in local and global </w:t>
      </w:r>
      <w:r w:rsidR="008509F1">
        <w:rPr>
          <w:rFonts w:cstheme="minorHAnsi"/>
          <w:color w:val="002060"/>
        </w:rPr>
        <w:t>pr</w:t>
      </w:r>
      <w:r w:rsidR="004571C9">
        <w:rPr>
          <w:rFonts w:cstheme="minorHAnsi"/>
          <w:color w:val="002060"/>
        </w:rPr>
        <w:t>ojects with external sponsors and</w:t>
      </w:r>
      <w:r w:rsidR="008509F1">
        <w:rPr>
          <w:rFonts w:cstheme="minorHAnsi"/>
          <w:color w:val="002060"/>
        </w:rPr>
        <w:t xml:space="preserve"> clients</w:t>
      </w:r>
      <w:r w:rsidR="00613B74">
        <w:rPr>
          <w:rFonts w:cstheme="minorHAnsi"/>
          <w:color w:val="002060"/>
        </w:rPr>
        <w:t>,</w:t>
      </w:r>
      <w:r w:rsidR="008509F1">
        <w:rPr>
          <w:rFonts w:cstheme="minorHAnsi"/>
          <w:color w:val="002060"/>
        </w:rPr>
        <w:t xml:space="preserve"> </w:t>
      </w:r>
      <w:r w:rsidR="00613B74">
        <w:rPr>
          <w:rFonts w:cstheme="minorHAnsi"/>
          <w:color w:val="002060"/>
        </w:rPr>
        <w:t>and often</w:t>
      </w:r>
      <w:r w:rsidR="008509F1">
        <w:rPr>
          <w:rFonts w:cstheme="minorHAnsi"/>
          <w:color w:val="002060"/>
        </w:rPr>
        <w:t xml:space="preserve"> collabor</w:t>
      </w:r>
      <w:r w:rsidR="00613B74">
        <w:rPr>
          <w:rFonts w:cstheme="minorHAnsi"/>
          <w:color w:val="002060"/>
        </w:rPr>
        <w:t xml:space="preserve">ate with </w:t>
      </w:r>
      <w:r w:rsidR="008509F1">
        <w:rPr>
          <w:rFonts w:cstheme="minorHAnsi"/>
          <w:color w:val="002060"/>
        </w:rPr>
        <w:t>other fa</w:t>
      </w:r>
      <w:r w:rsidR="008509F1" w:rsidRPr="00153E9C">
        <w:rPr>
          <w:rFonts w:cstheme="minorHAnsi"/>
          <w:color w:val="002060"/>
        </w:rPr>
        <w:t xml:space="preserve">culty </w:t>
      </w:r>
      <w:r w:rsidR="00613B74" w:rsidRPr="00153E9C">
        <w:rPr>
          <w:rFonts w:cstheme="minorHAnsi"/>
          <w:color w:val="002060"/>
        </w:rPr>
        <w:t>across</w:t>
      </w:r>
      <w:r w:rsidR="008509F1" w:rsidRPr="00153E9C">
        <w:rPr>
          <w:rFonts w:cstheme="minorHAnsi"/>
          <w:color w:val="002060"/>
        </w:rPr>
        <w:t xml:space="preserve"> the University</w:t>
      </w:r>
      <w:r w:rsidR="008757E9" w:rsidRPr="00153E9C">
        <w:rPr>
          <w:rFonts w:cstheme="minorHAnsi"/>
          <w:color w:val="002060"/>
        </w:rPr>
        <w:t>. In an effort to i</w:t>
      </w:r>
      <w:r w:rsidR="009602F0">
        <w:rPr>
          <w:rFonts w:cstheme="minorHAnsi"/>
          <w:color w:val="002060"/>
        </w:rPr>
        <w:t xml:space="preserve">ncrease support for Weitzman’s </w:t>
      </w:r>
      <w:r w:rsidR="008757E9" w:rsidRPr="00153E9C">
        <w:rPr>
          <w:rFonts w:cstheme="minorHAnsi"/>
          <w:color w:val="002060"/>
        </w:rPr>
        <w:t>infras</w:t>
      </w:r>
      <w:r w:rsidR="00153E9C" w:rsidRPr="00153E9C">
        <w:rPr>
          <w:rFonts w:cstheme="minorHAnsi"/>
          <w:color w:val="002060"/>
        </w:rPr>
        <w:t>tructure and to cover the costs of doing research</w:t>
      </w:r>
      <w:r w:rsidR="00B26A2C">
        <w:rPr>
          <w:rFonts w:cstheme="minorHAnsi"/>
          <w:color w:val="002060"/>
        </w:rPr>
        <w:t xml:space="preserve"> on behalf of the University</w:t>
      </w:r>
      <w:r w:rsidR="008757E9" w:rsidRPr="00153E9C">
        <w:rPr>
          <w:rFonts w:cstheme="minorHAnsi"/>
          <w:color w:val="002060"/>
        </w:rPr>
        <w:t>, faculty are strongly encouraged to follow these rules fo</w:t>
      </w:r>
      <w:r w:rsidR="00153E9C" w:rsidRPr="00153E9C">
        <w:rPr>
          <w:rFonts w:cstheme="minorHAnsi"/>
          <w:color w:val="002060"/>
        </w:rPr>
        <w:t xml:space="preserve">r participation in </w:t>
      </w:r>
      <w:r w:rsidR="008757E9" w:rsidRPr="00153E9C">
        <w:rPr>
          <w:rFonts w:cstheme="minorHAnsi"/>
          <w:color w:val="002060"/>
        </w:rPr>
        <w:t xml:space="preserve">research </w:t>
      </w:r>
      <w:r w:rsidR="0070732B">
        <w:rPr>
          <w:rFonts w:cstheme="minorHAnsi"/>
          <w:color w:val="002060"/>
        </w:rPr>
        <w:t>with the goal of increasing</w:t>
      </w:r>
      <w:r w:rsidR="008757E9" w:rsidRPr="00153E9C">
        <w:rPr>
          <w:rFonts w:cstheme="minorHAnsi"/>
          <w:color w:val="002060"/>
        </w:rPr>
        <w:t xml:space="preserve"> </w:t>
      </w:r>
      <w:r w:rsidR="008E6D63" w:rsidRPr="00153E9C">
        <w:rPr>
          <w:rFonts w:cstheme="minorHAnsi"/>
          <w:color w:val="002060"/>
        </w:rPr>
        <w:t>indirect cost</w:t>
      </w:r>
      <w:r w:rsidR="009F25C1" w:rsidRPr="00153E9C">
        <w:rPr>
          <w:rFonts w:cstheme="minorHAnsi"/>
          <w:color w:val="002060"/>
        </w:rPr>
        <w:t xml:space="preserve"> </w:t>
      </w:r>
      <w:r w:rsidR="004571C9" w:rsidRPr="00153E9C">
        <w:rPr>
          <w:rFonts w:cstheme="minorHAnsi"/>
          <w:color w:val="002060"/>
        </w:rPr>
        <w:t xml:space="preserve">recovery </w:t>
      </w:r>
      <w:r w:rsidR="008C758C" w:rsidRPr="00153E9C">
        <w:rPr>
          <w:rFonts w:cstheme="minorHAnsi"/>
          <w:color w:val="002060"/>
        </w:rPr>
        <w:t>(ICR)</w:t>
      </w:r>
      <w:r w:rsidR="008757E9" w:rsidRPr="00153E9C">
        <w:rPr>
          <w:rFonts w:cstheme="minorHAnsi"/>
          <w:color w:val="002060"/>
        </w:rPr>
        <w:t xml:space="preserve"> revenue</w:t>
      </w:r>
      <w:r w:rsidR="004571C9" w:rsidRPr="00153E9C">
        <w:rPr>
          <w:rFonts w:cstheme="minorHAnsi"/>
          <w:color w:val="002060"/>
        </w:rPr>
        <w:t xml:space="preserve"> to the School</w:t>
      </w:r>
      <w:r w:rsidR="009F25C1" w:rsidRPr="00153E9C">
        <w:rPr>
          <w:rFonts w:cstheme="minorHAnsi"/>
          <w:color w:val="002060"/>
        </w:rPr>
        <w:t>.</w:t>
      </w:r>
      <w:r w:rsidR="00A80D8F">
        <w:rPr>
          <w:rFonts w:cstheme="minorHAnsi"/>
          <w:color w:val="002060"/>
        </w:rPr>
        <w:t xml:space="preserve">  While 20%</w:t>
      </w:r>
      <w:r w:rsidR="008C758C">
        <w:rPr>
          <w:rFonts w:cstheme="minorHAnsi"/>
          <w:color w:val="002060"/>
        </w:rPr>
        <w:t xml:space="preserve"> of the ICRs are returned to the faculty (see ICR Faculty Allocation Policy), the </w:t>
      </w:r>
      <w:r w:rsidR="00A80D8F">
        <w:rPr>
          <w:rFonts w:cstheme="minorHAnsi"/>
          <w:color w:val="002060"/>
        </w:rPr>
        <w:t>remainder</w:t>
      </w:r>
      <w:r w:rsidR="008C758C">
        <w:rPr>
          <w:rFonts w:cstheme="minorHAnsi"/>
          <w:color w:val="002060"/>
        </w:rPr>
        <w:t xml:space="preserve"> of </w:t>
      </w:r>
      <w:r w:rsidR="00BE1341">
        <w:rPr>
          <w:rFonts w:cstheme="minorHAnsi"/>
          <w:color w:val="002060"/>
        </w:rPr>
        <w:t xml:space="preserve">the </w:t>
      </w:r>
      <w:r w:rsidR="008C758C">
        <w:rPr>
          <w:rFonts w:cstheme="minorHAnsi"/>
          <w:color w:val="002060"/>
        </w:rPr>
        <w:t>funds</w:t>
      </w:r>
      <w:r w:rsidR="00E76D70">
        <w:rPr>
          <w:rFonts w:cstheme="minorHAnsi"/>
          <w:color w:val="002060"/>
        </w:rPr>
        <w:t xml:space="preserve"> </w:t>
      </w:r>
      <w:r w:rsidR="008C758C">
        <w:rPr>
          <w:rFonts w:cstheme="minorHAnsi"/>
          <w:color w:val="002060"/>
        </w:rPr>
        <w:t>ar</w:t>
      </w:r>
      <w:r w:rsidR="00E76D70">
        <w:rPr>
          <w:rFonts w:cstheme="minorHAnsi"/>
          <w:color w:val="002060"/>
        </w:rPr>
        <w:t xml:space="preserve">e used </w:t>
      </w:r>
      <w:r w:rsidR="00A80D8F">
        <w:rPr>
          <w:rFonts w:cstheme="minorHAnsi"/>
          <w:color w:val="002060"/>
        </w:rPr>
        <w:t xml:space="preserve">to offset a portion of the School’s costs of supporting </w:t>
      </w:r>
      <w:r w:rsidR="00E76D70">
        <w:rPr>
          <w:rFonts w:cstheme="minorHAnsi"/>
          <w:color w:val="002060"/>
        </w:rPr>
        <w:t>research</w:t>
      </w:r>
      <w:r w:rsidR="00A80D8F">
        <w:rPr>
          <w:rFonts w:cstheme="minorHAnsi"/>
          <w:color w:val="002060"/>
        </w:rPr>
        <w:t>.</w:t>
      </w:r>
      <w:r w:rsidR="009F25C1">
        <w:rPr>
          <w:rFonts w:cstheme="minorHAnsi"/>
          <w:color w:val="002060"/>
        </w:rPr>
        <w:t xml:space="preserve">  </w:t>
      </w:r>
      <w:r w:rsidR="00613B74">
        <w:rPr>
          <w:rFonts w:cstheme="minorHAnsi"/>
          <w:color w:val="002060"/>
        </w:rPr>
        <w:t xml:space="preserve">    </w:t>
      </w:r>
    </w:p>
    <w:p w14:paraId="101B3F2E" w14:textId="6C5302C9" w:rsidR="00A5691B" w:rsidRPr="004433C5" w:rsidRDefault="00A5691B" w:rsidP="00876258">
      <w:pPr>
        <w:tabs>
          <w:tab w:val="left" w:pos="5200"/>
        </w:tabs>
        <w:spacing w:after="0" w:line="240" w:lineRule="auto"/>
        <w:rPr>
          <w:rFonts w:cstheme="minorHAnsi"/>
          <w:color w:val="002060"/>
          <w:sz w:val="24"/>
          <w:u w:val="single"/>
        </w:rPr>
      </w:pPr>
      <w:r w:rsidRPr="004433C5">
        <w:rPr>
          <w:rFonts w:cstheme="minorHAnsi"/>
          <w:color w:val="002060"/>
          <w:sz w:val="24"/>
          <w:u w:val="single"/>
        </w:rPr>
        <w:t>Definition</w:t>
      </w:r>
      <w:r w:rsidR="009F323A">
        <w:rPr>
          <w:rFonts w:cstheme="minorHAnsi"/>
          <w:color w:val="002060"/>
          <w:sz w:val="24"/>
          <w:u w:val="single"/>
        </w:rPr>
        <w:t>s</w:t>
      </w:r>
      <w:r w:rsidR="00876258">
        <w:rPr>
          <w:rFonts w:cstheme="minorHAnsi"/>
          <w:color w:val="002060"/>
          <w:sz w:val="24"/>
          <w:u w:val="single"/>
        </w:rPr>
        <w:tab/>
      </w:r>
    </w:p>
    <w:p w14:paraId="00539484" w14:textId="77777777" w:rsidR="009F323A" w:rsidRDefault="00D80BD9" w:rsidP="00AE4341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F</w:t>
      </w:r>
      <w:r w:rsidR="00634BC3">
        <w:rPr>
          <w:rFonts w:cstheme="minorHAnsi"/>
          <w:color w:val="002060"/>
        </w:rPr>
        <w:t xml:space="preserve">aculty </w:t>
      </w:r>
      <w:r w:rsidR="00BA110C">
        <w:rPr>
          <w:rFonts w:cstheme="minorHAnsi"/>
          <w:color w:val="002060"/>
          <w:u w:val="single"/>
        </w:rPr>
        <w:t>participate</w:t>
      </w:r>
      <w:r w:rsidR="00AD2DC2">
        <w:rPr>
          <w:rFonts w:cstheme="minorHAnsi"/>
          <w:color w:val="002060"/>
        </w:rPr>
        <w:t xml:space="preserve"> in research activities</w:t>
      </w:r>
      <w:r w:rsidR="005131CD">
        <w:rPr>
          <w:rFonts w:cstheme="minorHAnsi"/>
          <w:color w:val="002060"/>
        </w:rPr>
        <w:t xml:space="preserve"> </w:t>
      </w:r>
      <w:r w:rsidR="009F323A">
        <w:rPr>
          <w:rFonts w:cstheme="minorHAnsi"/>
          <w:color w:val="002060"/>
        </w:rPr>
        <w:t xml:space="preserve">by </w:t>
      </w:r>
      <w:r w:rsidR="00360383">
        <w:rPr>
          <w:rFonts w:cstheme="minorHAnsi"/>
          <w:color w:val="002060"/>
        </w:rPr>
        <w:t>entering contracts</w:t>
      </w:r>
      <w:r w:rsidR="009F323A">
        <w:rPr>
          <w:rFonts w:cstheme="minorHAnsi"/>
          <w:color w:val="002060"/>
        </w:rPr>
        <w:t xml:space="preserve"> w</w:t>
      </w:r>
      <w:r w:rsidR="0037334F">
        <w:rPr>
          <w:rFonts w:cstheme="minorHAnsi"/>
          <w:color w:val="002060"/>
        </w:rPr>
        <w:t xml:space="preserve">ith sponsors and clients as </w:t>
      </w:r>
      <w:r w:rsidR="00153E9C">
        <w:rPr>
          <w:rFonts w:cstheme="minorHAnsi"/>
          <w:color w:val="002060"/>
        </w:rPr>
        <w:t>lead principal</w:t>
      </w:r>
      <w:r w:rsidR="009F323A">
        <w:rPr>
          <w:rFonts w:cstheme="minorHAnsi"/>
          <w:color w:val="002060"/>
        </w:rPr>
        <w:t xml:space="preserve"> investigator</w:t>
      </w:r>
      <w:r w:rsidR="0037334F">
        <w:rPr>
          <w:rFonts w:cstheme="minorHAnsi"/>
          <w:color w:val="002060"/>
        </w:rPr>
        <w:t>s</w:t>
      </w:r>
      <w:r w:rsidR="009F323A">
        <w:rPr>
          <w:rFonts w:cstheme="minorHAnsi"/>
          <w:color w:val="002060"/>
        </w:rPr>
        <w:t xml:space="preserve"> (PI</w:t>
      </w:r>
      <w:r w:rsidR="0037334F">
        <w:rPr>
          <w:rFonts w:cstheme="minorHAnsi"/>
          <w:color w:val="002060"/>
        </w:rPr>
        <w:t>s</w:t>
      </w:r>
      <w:r w:rsidR="009F323A">
        <w:rPr>
          <w:rFonts w:cstheme="minorHAnsi"/>
          <w:color w:val="002060"/>
        </w:rPr>
        <w:t>) or project manager</w:t>
      </w:r>
      <w:r w:rsidR="0037334F">
        <w:rPr>
          <w:rFonts w:cstheme="minorHAnsi"/>
          <w:color w:val="002060"/>
        </w:rPr>
        <w:t>s</w:t>
      </w:r>
      <w:r w:rsidR="009F323A">
        <w:rPr>
          <w:rFonts w:cstheme="minorHAnsi"/>
          <w:color w:val="002060"/>
        </w:rPr>
        <w:t xml:space="preserve"> (PM</w:t>
      </w:r>
      <w:r w:rsidR="0037334F">
        <w:rPr>
          <w:rFonts w:cstheme="minorHAnsi"/>
          <w:color w:val="002060"/>
        </w:rPr>
        <w:t>s</w:t>
      </w:r>
      <w:r w:rsidR="009F323A">
        <w:rPr>
          <w:rFonts w:cstheme="minorHAnsi"/>
          <w:color w:val="002060"/>
        </w:rPr>
        <w:t xml:space="preserve">), </w:t>
      </w:r>
      <w:r w:rsidR="0037334F">
        <w:rPr>
          <w:rFonts w:cstheme="minorHAnsi"/>
          <w:color w:val="002060"/>
        </w:rPr>
        <w:t xml:space="preserve">as co-PIs or PMs </w:t>
      </w:r>
      <w:r w:rsidR="009F323A">
        <w:rPr>
          <w:rFonts w:cstheme="minorHAnsi"/>
          <w:color w:val="002060"/>
        </w:rPr>
        <w:t xml:space="preserve">collaborating with </w:t>
      </w:r>
      <w:r w:rsidR="0037334F">
        <w:rPr>
          <w:rFonts w:cstheme="minorHAnsi"/>
          <w:color w:val="002060"/>
        </w:rPr>
        <w:t>other faculty</w:t>
      </w:r>
      <w:r w:rsidR="009F323A">
        <w:rPr>
          <w:rFonts w:cstheme="minorHAnsi"/>
          <w:color w:val="002060"/>
        </w:rPr>
        <w:t xml:space="preserve">, or </w:t>
      </w:r>
      <w:r w:rsidR="0037334F">
        <w:rPr>
          <w:rFonts w:cstheme="minorHAnsi"/>
          <w:color w:val="002060"/>
        </w:rPr>
        <w:t>as a subcontractor to another PIs or PMs research</w:t>
      </w:r>
      <w:r w:rsidR="009F323A">
        <w:rPr>
          <w:rFonts w:cstheme="minorHAnsi"/>
          <w:color w:val="002060"/>
        </w:rPr>
        <w:t xml:space="preserve">. </w:t>
      </w:r>
    </w:p>
    <w:p w14:paraId="21754666" w14:textId="77777777" w:rsidR="009F323A" w:rsidRDefault="009F323A" w:rsidP="00AE4341">
      <w:pPr>
        <w:spacing w:after="0"/>
        <w:rPr>
          <w:rFonts w:cstheme="minorHAnsi"/>
          <w:color w:val="002060"/>
        </w:rPr>
      </w:pPr>
    </w:p>
    <w:p w14:paraId="2B1A849C" w14:textId="77777777" w:rsidR="009D046B" w:rsidRPr="003D63F6" w:rsidRDefault="009F323A" w:rsidP="00AE4341">
      <w:pPr>
        <w:spacing w:after="0"/>
        <w:rPr>
          <w:rFonts w:cstheme="minorHAnsi"/>
          <w:color w:val="002060"/>
        </w:rPr>
      </w:pPr>
      <w:r w:rsidRPr="004E653A">
        <w:rPr>
          <w:rFonts w:cstheme="minorHAnsi"/>
          <w:color w:val="002060"/>
          <w:u w:val="single"/>
        </w:rPr>
        <w:t>Indi</w:t>
      </w:r>
      <w:r w:rsidR="004C2811" w:rsidRPr="004E653A">
        <w:rPr>
          <w:rFonts w:cstheme="minorHAnsi"/>
          <w:color w:val="002060"/>
          <w:u w:val="single"/>
        </w:rPr>
        <w:t>rect costs</w:t>
      </w:r>
      <w:r>
        <w:rPr>
          <w:rFonts w:cstheme="minorHAnsi"/>
          <w:color w:val="002060"/>
        </w:rPr>
        <w:t xml:space="preserve"> </w:t>
      </w:r>
      <w:r w:rsidR="00A5691B" w:rsidRPr="004433C5">
        <w:rPr>
          <w:rFonts w:cstheme="minorHAnsi"/>
          <w:color w:val="002060"/>
        </w:rPr>
        <w:t xml:space="preserve">are calculated based on </w:t>
      </w:r>
      <w:r>
        <w:rPr>
          <w:rFonts w:cstheme="minorHAnsi"/>
          <w:color w:val="002060"/>
        </w:rPr>
        <w:t xml:space="preserve">a percentage </w:t>
      </w:r>
      <w:r w:rsidR="00C54F56">
        <w:rPr>
          <w:rFonts w:cstheme="minorHAnsi"/>
          <w:color w:val="002060"/>
        </w:rPr>
        <w:t xml:space="preserve">of </w:t>
      </w:r>
      <w:r w:rsidR="00A5691B" w:rsidRPr="004433C5">
        <w:rPr>
          <w:rFonts w:cstheme="minorHAnsi"/>
          <w:color w:val="002060"/>
        </w:rPr>
        <w:t>the d</w:t>
      </w:r>
      <w:r>
        <w:rPr>
          <w:rFonts w:cstheme="minorHAnsi"/>
          <w:color w:val="002060"/>
        </w:rPr>
        <w:t>irect expenditures a</w:t>
      </w:r>
      <w:r w:rsidR="002326E7">
        <w:rPr>
          <w:rFonts w:cstheme="minorHAnsi"/>
          <w:color w:val="002060"/>
        </w:rPr>
        <w:t>nd are used to support faculty</w:t>
      </w:r>
      <w:r>
        <w:rPr>
          <w:rFonts w:cstheme="minorHAnsi"/>
          <w:color w:val="002060"/>
        </w:rPr>
        <w:t>,</w:t>
      </w:r>
      <w:r w:rsidR="00A5691B" w:rsidRPr="004433C5">
        <w:rPr>
          <w:rFonts w:cstheme="minorHAnsi"/>
          <w:color w:val="002060"/>
        </w:rPr>
        <w:t xml:space="preserve"> </w:t>
      </w:r>
      <w:r w:rsidR="004E653A">
        <w:rPr>
          <w:rFonts w:cstheme="minorHAnsi"/>
          <w:color w:val="002060"/>
        </w:rPr>
        <w:t xml:space="preserve">and offset </w:t>
      </w:r>
      <w:r w:rsidR="00D70986">
        <w:rPr>
          <w:rFonts w:cstheme="minorHAnsi"/>
          <w:color w:val="002060"/>
        </w:rPr>
        <w:t xml:space="preserve">a portion of </w:t>
      </w:r>
      <w:r w:rsidR="004E653A">
        <w:rPr>
          <w:rFonts w:cstheme="minorHAnsi"/>
          <w:color w:val="002060"/>
        </w:rPr>
        <w:t xml:space="preserve">the cost of </w:t>
      </w:r>
      <w:r w:rsidR="009A73EF">
        <w:rPr>
          <w:rFonts w:cstheme="minorHAnsi"/>
          <w:color w:val="002060"/>
        </w:rPr>
        <w:t>space</w:t>
      </w:r>
      <w:r w:rsidR="0062732A">
        <w:rPr>
          <w:rFonts w:cstheme="minorHAnsi"/>
          <w:color w:val="002060"/>
        </w:rPr>
        <w:t xml:space="preserve"> (where applicable)</w:t>
      </w:r>
      <w:r w:rsidR="009A73EF">
        <w:rPr>
          <w:rFonts w:cstheme="minorHAnsi"/>
          <w:color w:val="002060"/>
        </w:rPr>
        <w:t xml:space="preserve">, </w:t>
      </w:r>
      <w:r w:rsidR="0062732A">
        <w:rPr>
          <w:rFonts w:cstheme="minorHAnsi"/>
          <w:color w:val="002060"/>
        </w:rPr>
        <w:t xml:space="preserve">computing, </w:t>
      </w:r>
      <w:r w:rsidR="009A73EF">
        <w:rPr>
          <w:rFonts w:cstheme="minorHAnsi"/>
          <w:color w:val="002060"/>
        </w:rPr>
        <w:t>utilities</w:t>
      </w:r>
      <w:r w:rsidR="002326E7">
        <w:rPr>
          <w:rFonts w:cstheme="minorHAnsi"/>
          <w:color w:val="002060"/>
        </w:rPr>
        <w:t>, library</w:t>
      </w:r>
      <w:r w:rsidR="009A73EF">
        <w:rPr>
          <w:rFonts w:cstheme="minorHAnsi"/>
          <w:color w:val="002060"/>
        </w:rPr>
        <w:t xml:space="preserve"> access</w:t>
      </w:r>
      <w:r w:rsidR="00A5691B" w:rsidRPr="004433C5">
        <w:rPr>
          <w:rFonts w:cstheme="minorHAnsi"/>
          <w:color w:val="002060"/>
        </w:rPr>
        <w:t xml:space="preserve">, </w:t>
      </w:r>
      <w:r w:rsidR="009A73EF">
        <w:rPr>
          <w:rFonts w:cstheme="minorHAnsi"/>
          <w:color w:val="002060"/>
        </w:rPr>
        <w:t xml:space="preserve">legal, insurance, </w:t>
      </w:r>
      <w:r w:rsidR="00A5691B" w:rsidRPr="004433C5">
        <w:rPr>
          <w:rFonts w:cstheme="minorHAnsi"/>
          <w:color w:val="002060"/>
        </w:rPr>
        <w:t>accounting, payroll</w:t>
      </w:r>
      <w:r w:rsidR="00893362">
        <w:rPr>
          <w:rFonts w:cstheme="minorHAnsi"/>
          <w:color w:val="002060"/>
        </w:rPr>
        <w:t xml:space="preserve">, </w:t>
      </w:r>
      <w:r w:rsidR="004E653A">
        <w:rPr>
          <w:rFonts w:cstheme="minorHAnsi"/>
          <w:color w:val="002060"/>
        </w:rPr>
        <w:t>and School</w:t>
      </w:r>
      <w:r w:rsidR="00A5691B" w:rsidRPr="004433C5">
        <w:rPr>
          <w:rFonts w:cstheme="minorHAnsi"/>
          <w:color w:val="002060"/>
        </w:rPr>
        <w:t xml:space="preserve"> and depa</w:t>
      </w:r>
      <w:r w:rsidR="00893362">
        <w:rPr>
          <w:rFonts w:cstheme="minorHAnsi"/>
          <w:color w:val="002060"/>
        </w:rPr>
        <w:t>rtmental administration</w:t>
      </w:r>
      <w:r w:rsidR="004E653A">
        <w:rPr>
          <w:rFonts w:cstheme="minorHAnsi"/>
          <w:color w:val="002060"/>
        </w:rPr>
        <w:t xml:space="preserve">.  </w:t>
      </w:r>
      <w:r w:rsidR="00DC45A0">
        <w:rPr>
          <w:rFonts w:cstheme="minorHAnsi"/>
          <w:color w:val="002060"/>
        </w:rPr>
        <w:t>The School</w:t>
      </w:r>
      <w:r>
        <w:rPr>
          <w:rFonts w:cstheme="minorHAnsi"/>
          <w:color w:val="002060"/>
        </w:rPr>
        <w:t xml:space="preserve"> will apply the appropriate </w:t>
      </w:r>
      <w:r w:rsidRPr="00DB6E42">
        <w:rPr>
          <w:rFonts w:cstheme="minorHAnsi"/>
          <w:color w:val="002060"/>
          <w:u w:val="single"/>
        </w:rPr>
        <w:t>indirect cost</w:t>
      </w:r>
      <w:r w:rsidR="00A5691B" w:rsidRPr="00DB6E42">
        <w:rPr>
          <w:rFonts w:cstheme="minorHAnsi"/>
          <w:color w:val="002060"/>
          <w:u w:val="single"/>
        </w:rPr>
        <w:t xml:space="preserve"> rate</w:t>
      </w:r>
      <w:r w:rsidR="00A5691B" w:rsidRPr="004433C5">
        <w:rPr>
          <w:rFonts w:cstheme="minorHAnsi"/>
          <w:color w:val="002060"/>
        </w:rPr>
        <w:t xml:space="preserve"> to the direct cost of the project based</w:t>
      </w:r>
      <w:r w:rsidR="00973EC7">
        <w:rPr>
          <w:rFonts w:cstheme="minorHAnsi"/>
          <w:color w:val="002060"/>
        </w:rPr>
        <w:t xml:space="preserve"> on </w:t>
      </w:r>
      <w:r w:rsidR="00C455EF">
        <w:rPr>
          <w:rFonts w:cstheme="minorHAnsi"/>
          <w:color w:val="002060"/>
        </w:rPr>
        <w:t xml:space="preserve">the University’s federal </w:t>
      </w:r>
      <w:r w:rsidR="00C455EF" w:rsidRPr="0029404A">
        <w:rPr>
          <w:rFonts w:cstheme="minorHAnsi"/>
          <w:i/>
          <w:color w:val="002060"/>
        </w:rPr>
        <w:t>pre-negotiated</w:t>
      </w:r>
      <w:r w:rsidR="00C455EF">
        <w:rPr>
          <w:rFonts w:cstheme="minorHAnsi"/>
          <w:color w:val="002060"/>
        </w:rPr>
        <w:t xml:space="preserve"> rates, a </w:t>
      </w:r>
      <w:r w:rsidR="00C455EF" w:rsidRPr="0029404A">
        <w:rPr>
          <w:rFonts w:cstheme="minorHAnsi"/>
          <w:i/>
          <w:color w:val="002060"/>
        </w:rPr>
        <w:t>non-</w:t>
      </w:r>
      <w:r w:rsidR="00C6727F" w:rsidRPr="0029404A">
        <w:rPr>
          <w:rFonts w:cstheme="minorHAnsi"/>
          <w:i/>
          <w:color w:val="002060"/>
        </w:rPr>
        <w:t>negot</w:t>
      </w:r>
      <w:r w:rsidR="00C455EF" w:rsidRPr="0029404A">
        <w:rPr>
          <w:rFonts w:cstheme="minorHAnsi"/>
          <w:i/>
          <w:color w:val="002060"/>
        </w:rPr>
        <w:t>iable</w:t>
      </w:r>
      <w:r w:rsidR="00DB6E42">
        <w:rPr>
          <w:rFonts w:cstheme="minorHAnsi"/>
          <w:color w:val="002060"/>
        </w:rPr>
        <w:t xml:space="preserve"> rate allowed</w:t>
      </w:r>
      <w:r w:rsidR="00C6727F">
        <w:rPr>
          <w:rFonts w:cstheme="minorHAnsi"/>
          <w:color w:val="002060"/>
        </w:rPr>
        <w:t xml:space="preserve"> by the sponsor</w:t>
      </w:r>
      <w:r w:rsidR="00C455EF">
        <w:rPr>
          <w:rFonts w:cstheme="minorHAnsi"/>
          <w:color w:val="002060"/>
        </w:rPr>
        <w:t xml:space="preserve"> (i.e. foundations)</w:t>
      </w:r>
      <w:r w:rsidR="000F0E98">
        <w:rPr>
          <w:rFonts w:cstheme="minorHAnsi"/>
          <w:color w:val="002060"/>
        </w:rPr>
        <w:t xml:space="preserve"> or client, a </w:t>
      </w:r>
      <w:r w:rsidR="000F0E98" w:rsidRPr="0029404A">
        <w:rPr>
          <w:rFonts w:cstheme="minorHAnsi"/>
          <w:i/>
          <w:color w:val="002060"/>
        </w:rPr>
        <w:t>negotiated</w:t>
      </w:r>
      <w:r w:rsidR="000F0E98">
        <w:rPr>
          <w:rFonts w:cstheme="minorHAnsi"/>
          <w:color w:val="002060"/>
        </w:rPr>
        <w:t xml:space="preserve"> rate between the PI/PM and the sponsor or client</w:t>
      </w:r>
      <w:r w:rsidR="00C54F30">
        <w:rPr>
          <w:rFonts w:cstheme="minorHAnsi"/>
          <w:color w:val="002060"/>
        </w:rPr>
        <w:t>, or</w:t>
      </w:r>
      <w:r w:rsidR="000F0E98">
        <w:rPr>
          <w:rFonts w:cstheme="minorHAnsi"/>
          <w:color w:val="002060"/>
        </w:rPr>
        <w:t xml:space="preserve"> </w:t>
      </w:r>
      <w:r w:rsidR="00C455EF">
        <w:rPr>
          <w:rFonts w:cstheme="minorHAnsi"/>
          <w:color w:val="002060"/>
        </w:rPr>
        <w:t>the</w:t>
      </w:r>
      <w:r w:rsidR="00C6727F">
        <w:rPr>
          <w:rFonts w:cstheme="minorHAnsi"/>
          <w:color w:val="002060"/>
        </w:rPr>
        <w:t xml:space="preserve"> </w:t>
      </w:r>
      <w:r w:rsidR="00C54F30">
        <w:rPr>
          <w:rFonts w:cstheme="minorHAnsi"/>
          <w:color w:val="002060"/>
        </w:rPr>
        <w:t xml:space="preserve">stated </w:t>
      </w:r>
      <w:r w:rsidR="00C455EF">
        <w:rPr>
          <w:rFonts w:cstheme="minorHAnsi"/>
          <w:color w:val="002060"/>
        </w:rPr>
        <w:t xml:space="preserve">rate in a </w:t>
      </w:r>
      <w:r w:rsidR="00C6727F">
        <w:rPr>
          <w:rFonts w:cstheme="minorHAnsi"/>
          <w:color w:val="002060"/>
        </w:rPr>
        <w:t>fully executed cooperative agreement</w:t>
      </w:r>
      <w:r w:rsidR="000F0E98">
        <w:rPr>
          <w:rFonts w:cstheme="minorHAnsi"/>
          <w:color w:val="002060"/>
        </w:rPr>
        <w:t>.</w:t>
      </w:r>
      <w:r w:rsidR="003B6558">
        <w:rPr>
          <w:rFonts w:cstheme="minorHAnsi"/>
          <w:color w:val="002060"/>
        </w:rPr>
        <w:t xml:space="preserve">  </w:t>
      </w:r>
    </w:p>
    <w:p w14:paraId="335E1676" w14:textId="77777777" w:rsidR="00AE4341" w:rsidRDefault="00AE4341" w:rsidP="00AD5BC0">
      <w:pPr>
        <w:spacing w:after="0"/>
        <w:rPr>
          <w:rFonts w:cstheme="minorHAnsi"/>
          <w:color w:val="002060"/>
          <w:sz w:val="24"/>
          <w:u w:val="single"/>
        </w:rPr>
      </w:pPr>
    </w:p>
    <w:p w14:paraId="3B9072C7" w14:textId="77777777" w:rsidR="00AE4341" w:rsidRDefault="002326E7" w:rsidP="00AD5BC0">
      <w:pPr>
        <w:spacing w:after="0"/>
        <w:rPr>
          <w:rFonts w:cstheme="minorHAnsi"/>
          <w:color w:val="002060"/>
          <w:sz w:val="24"/>
          <w:u w:val="single"/>
        </w:rPr>
      </w:pPr>
      <w:r>
        <w:rPr>
          <w:rFonts w:cstheme="minorHAnsi"/>
          <w:color w:val="002060"/>
          <w:sz w:val="24"/>
          <w:u w:val="single"/>
        </w:rPr>
        <w:t xml:space="preserve">Rules of </w:t>
      </w:r>
      <w:r w:rsidR="00BA110C">
        <w:rPr>
          <w:rFonts w:cstheme="minorHAnsi"/>
          <w:color w:val="002060"/>
          <w:sz w:val="24"/>
          <w:u w:val="single"/>
        </w:rPr>
        <w:t>Participation</w:t>
      </w:r>
      <w:r w:rsidR="008854F3">
        <w:rPr>
          <w:rFonts w:cstheme="minorHAnsi"/>
          <w:color w:val="002060"/>
          <w:sz w:val="24"/>
          <w:u w:val="single"/>
        </w:rPr>
        <w:t xml:space="preserve"> and ICRs</w:t>
      </w:r>
    </w:p>
    <w:p w14:paraId="2F9001D4" w14:textId="77777777" w:rsidR="00E61D1B" w:rsidRDefault="004E00EC" w:rsidP="00AD5BC0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Indirect cost recovery is allocated to the </w:t>
      </w:r>
      <w:r w:rsidR="00041D29">
        <w:rPr>
          <w:rFonts w:cstheme="minorHAnsi"/>
          <w:color w:val="002060"/>
          <w:u w:val="single"/>
        </w:rPr>
        <w:t>home S</w:t>
      </w:r>
      <w:r w:rsidRPr="00041D29">
        <w:rPr>
          <w:rFonts w:cstheme="minorHAnsi"/>
          <w:color w:val="002060"/>
          <w:u w:val="single"/>
        </w:rPr>
        <w:t>chool</w:t>
      </w:r>
      <w:r>
        <w:rPr>
          <w:rFonts w:cstheme="minorHAnsi"/>
          <w:color w:val="002060"/>
        </w:rPr>
        <w:t xml:space="preserve"> of the PI</w:t>
      </w:r>
      <w:r w:rsidR="00522627">
        <w:rPr>
          <w:rFonts w:cstheme="minorHAnsi"/>
          <w:color w:val="002060"/>
        </w:rPr>
        <w:t xml:space="preserve">/PM </w:t>
      </w:r>
      <w:r w:rsidR="002B2B55">
        <w:rPr>
          <w:rFonts w:cstheme="minorHAnsi"/>
          <w:color w:val="002060"/>
        </w:rPr>
        <w:t>if the</w:t>
      </w:r>
      <w:r w:rsidR="00535F1B">
        <w:rPr>
          <w:rFonts w:cstheme="minorHAnsi"/>
          <w:color w:val="002060"/>
        </w:rPr>
        <w:t xml:space="preserve"> awarded proposal i</w:t>
      </w:r>
      <w:r w:rsidR="00041D29">
        <w:rPr>
          <w:rFonts w:cstheme="minorHAnsi"/>
          <w:color w:val="002060"/>
        </w:rPr>
        <w:t>s</w:t>
      </w:r>
      <w:r w:rsidR="00522627">
        <w:rPr>
          <w:rFonts w:cstheme="minorHAnsi"/>
          <w:color w:val="002060"/>
        </w:rPr>
        <w:t>:</w:t>
      </w:r>
    </w:p>
    <w:p w14:paraId="42A2EB12" w14:textId="77777777" w:rsidR="00E61D1B" w:rsidRPr="00E61D1B" w:rsidRDefault="00E61D1B" w:rsidP="00AD5BC0">
      <w:pPr>
        <w:spacing w:after="0"/>
        <w:rPr>
          <w:rFonts w:cstheme="minorHAnsi"/>
          <w:color w:val="002060"/>
          <w:sz w:val="12"/>
        </w:rPr>
      </w:pPr>
    </w:p>
    <w:p w14:paraId="7F20EF32" w14:textId="77777777" w:rsidR="00522627" w:rsidRDefault="00522627" w:rsidP="00522627">
      <w:pPr>
        <w:pStyle w:val="ListParagraph"/>
        <w:numPr>
          <w:ilvl w:val="0"/>
          <w:numId w:val="31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Routed</w:t>
      </w:r>
      <w:r w:rsidR="00041D29" w:rsidRPr="00522627">
        <w:rPr>
          <w:rFonts w:cstheme="minorHAnsi"/>
          <w:color w:val="002060"/>
        </w:rPr>
        <w:t xml:space="preserve"> through the faculty’s </w:t>
      </w:r>
      <w:r w:rsidR="00041D29" w:rsidRPr="009A73EF">
        <w:rPr>
          <w:rFonts w:cstheme="minorHAnsi"/>
          <w:color w:val="002060"/>
          <w:u w:val="single"/>
        </w:rPr>
        <w:t>home</w:t>
      </w:r>
      <w:r w:rsidR="00041D29" w:rsidRPr="00522627">
        <w:rPr>
          <w:rFonts w:cstheme="minorHAnsi"/>
          <w:color w:val="002060"/>
        </w:rPr>
        <w:t xml:space="preserve"> S</w:t>
      </w:r>
      <w:r w:rsidR="004E00EC" w:rsidRPr="00522627">
        <w:rPr>
          <w:rFonts w:cstheme="minorHAnsi"/>
          <w:color w:val="002060"/>
        </w:rPr>
        <w:t>chool</w:t>
      </w:r>
      <w:r w:rsidR="00E61D1B">
        <w:rPr>
          <w:rFonts w:cstheme="minorHAnsi"/>
          <w:color w:val="002060"/>
        </w:rPr>
        <w:t>, or</w:t>
      </w:r>
    </w:p>
    <w:p w14:paraId="2D855351" w14:textId="77777777" w:rsidR="00E61D1B" w:rsidRDefault="00522627" w:rsidP="00522627">
      <w:pPr>
        <w:pStyle w:val="ListParagraph"/>
        <w:numPr>
          <w:ilvl w:val="0"/>
          <w:numId w:val="31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R</w:t>
      </w:r>
      <w:r w:rsidR="002B2B55" w:rsidRPr="00522627">
        <w:rPr>
          <w:rFonts w:cstheme="minorHAnsi"/>
          <w:color w:val="002060"/>
        </w:rPr>
        <w:t xml:space="preserve">outed through </w:t>
      </w:r>
      <w:r w:rsidR="00041D29" w:rsidRPr="00522627">
        <w:rPr>
          <w:rFonts w:cstheme="minorHAnsi"/>
          <w:color w:val="002060"/>
        </w:rPr>
        <w:t xml:space="preserve">another School </w:t>
      </w:r>
      <w:r w:rsidR="002B2B55" w:rsidRPr="00522627">
        <w:rPr>
          <w:rFonts w:cstheme="minorHAnsi"/>
          <w:color w:val="002060"/>
        </w:rPr>
        <w:t>at Penn</w:t>
      </w:r>
      <w:r>
        <w:rPr>
          <w:rFonts w:cstheme="minorHAnsi"/>
          <w:color w:val="002060"/>
        </w:rPr>
        <w:t xml:space="preserve"> with a separate budget for the </w:t>
      </w:r>
      <w:r w:rsidR="00E61D1B">
        <w:rPr>
          <w:rFonts w:cstheme="minorHAnsi"/>
          <w:color w:val="002060"/>
        </w:rPr>
        <w:t xml:space="preserve">PI/PM’s home School </w:t>
      </w:r>
    </w:p>
    <w:p w14:paraId="6EDA1188" w14:textId="77777777" w:rsidR="00E61D1B" w:rsidRPr="00E61D1B" w:rsidRDefault="00E61D1B" w:rsidP="00E61D1B">
      <w:pPr>
        <w:spacing w:after="0"/>
        <w:ind w:left="408"/>
        <w:rPr>
          <w:rFonts w:cstheme="minorHAnsi"/>
          <w:color w:val="002060"/>
          <w:sz w:val="12"/>
        </w:rPr>
      </w:pPr>
    </w:p>
    <w:p w14:paraId="3EDF76B5" w14:textId="77777777" w:rsidR="005D1788" w:rsidRPr="00E61D1B" w:rsidRDefault="008002B3" w:rsidP="00360383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To</w:t>
      </w:r>
      <w:r w:rsidR="0091710B">
        <w:rPr>
          <w:rFonts w:cstheme="minorHAnsi"/>
          <w:color w:val="002060"/>
        </w:rPr>
        <w:t xml:space="preserve"> </w:t>
      </w:r>
      <w:r w:rsidR="0091710B" w:rsidRPr="009A73EF">
        <w:rPr>
          <w:rFonts w:cstheme="minorHAnsi"/>
          <w:i/>
          <w:color w:val="002060"/>
        </w:rPr>
        <w:t>maximize</w:t>
      </w:r>
      <w:r w:rsidR="0091710B">
        <w:rPr>
          <w:rFonts w:cstheme="minorHAnsi"/>
          <w:color w:val="002060"/>
        </w:rPr>
        <w:t xml:space="preserve"> the amount of ICRs coming to the home School, </w:t>
      </w:r>
      <w:r w:rsidR="009968D4">
        <w:rPr>
          <w:rFonts w:cstheme="minorHAnsi"/>
          <w:color w:val="002060"/>
        </w:rPr>
        <w:t xml:space="preserve">the following protocols </w:t>
      </w:r>
      <w:r>
        <w:rPr>
          <w:rFonts w:cstheme="minorHAnsi"/>
          <w:color w:val="002060"/>
        </w:rPr>
        <w:t xml:space="preserve">are encouraged </w:t>
      </w:r>
      <w:r w:rsidR="009322CC" w:rsidRPr="00E61D1B">
        <w:rPr>
          <w:rFonts w:cstheme="minorHAnsi"/>
          <w:color w:val="002060"/>
        </w:rPr>
        <w:t xml:space="preserve">when </w:t>
      </w:r>
      <w:r w:rsidR="009968D4">
        <w:rPr>
          <w:rFonts w:cstheme="minorHAnsi"/>
          <w:color w:val="002060"/>
        </w:rPr>
        <w:t>faculty participate</w:t>
      </w:r>
      <w:r w:rsidR="009322CC" w:rsidRPr="00E61D1B">
        <w:rPr>
          <w:rFonts w:cstheme="minorHAnsi"/>
          <w:color w:val="002060"/>
        </w:rPr>
        <w:t xml:space="preserve"> in research activities:</w:t>
      </w:r>
    </w:p>
    <w:p w14:paraId="1DD9D19A" w14:textId="77777777" w:rsidR="004E00EC" w:rsidRPr="00E61D1B" w:rsidRDefault="004E00EC" w:rsidP="00AD5BC0">
      <w:pPr>
        <w:spacing w:after="0"/>
        <w:rPr>
          <w:rFonts w:cstheme="minorHAnsi"/>
          <w:color w:val="002060"/>
          <w:sz w:val="12"/>
        </w:rPr>
      </w:pPr>
    </w:p>
    <w:p w14:paraId="484ABE3D" w14:textId="77777777" w:rsidR="004E00EC" w:rsidRDefault="004E00EC" w:rsidP="004E00EC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Strive for the highest indirect cost rate allowable</w:t>
      </w:r>
      <w:r w:rsidR="009A73EF">
        <w:rPr>
          <w:rFonts w:cstheme="minorHAnsi"/>
          <w:color w:val="002060"/>
        </w:rPr>
        <w:t xml:space="preserve"> – </w:t>
      </w:r>
      <w:r w:rsidR="009A73EF" w:rsidRPr="009A73EF">
        <w:rPr>
          <w:rFonts w:cstheme="minorHAnsi"/>
          <w:color w:val="002060"/>
          <w:u w:val="single"/>
        </w:rPr>
        <w:t>minimum is 20%.</w:t>
      </w:r>
    </w:p>
    <w:p w14:paraId="7670F3F6" w14:textId="77777777" w:rsidR="004E00EC" w:rsidRDefault="004E00EC" w:rsidP="004E00EC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Lead PI</w:t>
      </w:r>
      <w:r w:rsidR="006E760D">
        <w:rPr>
          <w:rFonts w:cstheme="minorHAnsi"/>
          <w:color w:val="002060"/>
        </w:rPr>
        <w:t xml:space="preserve"> or PM proposals go through Weitzman’s Research Support Center (RSC)</w:t>
      </w:r>
      <w:r w:rsidR="00376EDF">
        <w:rPr>
          <w:rFonts w:cstheme="minorHAnsi"/>
          <w:color w:val="002060"/>
        </w:rPr>
        <w:t>.</w:t>
      </w:r>
    </w:p>
    <w:p w14:paraId="664C2158" w14:textId="77777777" w:rsidR="00DA2F8B" w:rsidRPr="00DA2F8B" w:rsidRDefault="004E00EC" w:rsidP="00DA2F8B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Co-PI/PM proposals</w:t>
      </w:r>
      <w:r w:rsidR="00433258">
        <w:rPr>
          <w:rFonts w:cstheme="minorHAnsi"/>
          <w:color w:val="002060"/>
        </w:rPr>
        <w:t xml:space="preserve"> with other schools at Penn require a </w:t>
      </w:r>
      <w:r w:rsidR="00433258" w:rsidRPr="00857B87">
        <w:rPr>
          <w:rFonts w:cstheme="minorHAnsi"/>
          <w:color w:val="002060"/>
          <w:u w:val="single"/>
        </w:rPr>
        <w:t>separate budget</w:t>
      </w:r>
      <w:r w:rsidR="006E760D">
        <w:rPr>
          <w:rFonts w:cstheme="minorHAnsi"/>
          <w:color w:val="002060"/>
        </w:rPr>
        <w:t xml:space="preserve"> approved by the RSC</w:t>
      </w:r>
      <w:r w:rsidR="005E746C">
        <w:rPr>
          <w:rFonts w:cstheme="minorHAnsi"/>
          <w:color w:val="002060"/>
        </w:rPr>
        <w:t>.</w:t>
      </w:r>
      <w:r w:rsidR="00433258">
        <w:rPr>
          <w:rFonts w:cstheme="minorHAnsi"/>
          <w:color w:val="002060"/>
        </w:rPr>
        <w:t xml:space="preserve">  Upon award, the other school establishes a </w:t>
      </w:r>
      <w:r w:rsidR="00433258" w:rsidRPr="00B37B2F">
        <w:rPr>
          <w:rFonts w:cstheme="minorHAnsi"/>
          <w:i/>
          <w:color w:val="002060"/>
        </w:rPr>
        <w:t>subaccoun</w:t>
      </w:r>
      <w:r w:rsidR="006E760D">
        <w:rPr>
          <w:rFonts w:cstheme="minorHAnsi"/>
          <w:color w:val="002060"/>
        </w:rPr>
        <w:t>t to Design</w:t>
      </w:r>
      <w:r w:rsidR="00857B87">
        <w:rPr>
          <w:rFonts w:cstheme="minorHAnsi"/>
          <w:color w:val="002060"/>
        </w:rPr>
        <w:t>.</w:t>
      </w:r>
    </w:p>
    <w:p w14:paraId="11A82C46" w14:textId="77777777" w:rsidR="00786857" w:rsidRPr="00E61D1B" w:rsidRDefault="00DA2F8B" w:rsidP="00AD5BC0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Proposals wit</w:t>
      </w:r>
      <w:r w:rsidR="006E760D">
        <w:rPr>
          <w:rFonts w:cstheme="minorHAnsi"/>
          <w:color w:val="002060"/>
        </w:rPr>
        <w:t xml:space="preserve">h indirect cost rates below </w:t>
      </w:r>
      <w:r w:rsidR="00D80BD9">
        <w:rPr>
          <w:rFonts w:cstheme="minorHAnsi"/>
          <w:color w:val="002060"/>
        </w:rPr>
        <w:t>Weitzman</w:t>
      </w:r>
      <w:r w:rsidR="00B37B2F">
        <w:rPr>
          <w:rFonts w:cstheme="minorHAnsi"/>
          <w:color w:val="002060"/>
        </w:rPr>
        <w:t xml:space="preserve">’s </w:t>
      </w:r>
      <w:r w:rsidR="00D80BD9">
        <w:rPr>
          <w:rFonts w:cstheme="minorHAnsi"/>
          <w:color w:val="002060"/>
        </w:rPr>
        <w:t xml:space="preserve">minimal </w:t>
      </w:r>
      <w:r w:rsidR="00B37B2F">
        <w:rPr>
          <w:rFonts w:cstheme="minorHAnsi"/>
          <w:color w:val="002060"/>
        </w:rPr>
        <w:t>internal over</w:t>
      </w:r>
      <w:r w:rsidR="00FB5E9D">
        <w:rPr>
          <w:rFonts w:cstheme="minorHAnsi"/>
          <w:color w:val="002060"/>
        </w:rPr>
        <w:t xml:space="preserve">head rate </w:t>
      </w:r>
      <w:r w:rsidR="006E760D">
        <w:rPr>
          <w:rFonts w:cstheme="minorHAnsi"/>
          <w:color w:val="002060"/>
        </w:rPr>
        <w:t xml:space="preserve">of 20% </w:t>
      </w:r>
      <w:r w:rsidR="00FB5E9D">
        <w:rPr>
          <w:rFonts w:cstheme="minorHAnsi"/>
          <w:color w:val="002060"/>
        </w:rPr>
        <w:t xml:space="preserve">should try to build </w:t>
      </w:r>
      <w:r>
        <w:rPr>
          <w:rFonts w:cstheme="minorHAnsi"/>
          <w:color w:val="002060"/>
        </w:rPr>
        <w:t>t</w:t>
      </w:r>
      <w:r w:rsidR="00B37B2F">
        <w:rPr>
          <w:rFonts w:cstheme="minorHAnsi"/>
          <w:color w:val="002060"/>
        </w:rPr>
        <w:t xml:space="preserve">he </w:t>
      </w:r>
      <w:r w:rsidR="00FB5E9D">
        <w:rPr>
          <w:rFonts w:cstheme="minorHAnsi"/>
          <w:color w:val="002060"/>
        </w:rPr>
        <w:t xml:space="preserve">rate difference </w:t>
      </w:r>
      <w:r w:rsidR="00B37B2F">
        <w:rPr>
          <w:rFonts w:cstheme="minorHAnsi"/>
          <w:color w:val="002060"/>
        </w:rPr>
        <w:t xml:space="preserve">into </w:t>
      </w:r>
      <w:r>
        <w:rPr>
          <w:rFonts w:cstheme="minorHAnsi"/>
          <w:color w:val="002060"/>
        </w:rPr>
        <w:t>the direct expenditures.</w:t>
      </w:r>
      <w:r w:rsidR="00376EDF">
        <w:rPr>
          <w:rFonts w:cstheme="minorHAnsi"/>
          <w:color w:val="002060"/>
        </w:rPr>
        <w:t xml:space="preserve"> </w:t>
      </w:r>
    </w:p>
    <w:sectPr w:rsidR="00786857" w:rsidRPr="00E61D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9219" w14:textId="77777777" w:rsidR="00321EBD" w:rsidRDefault="00321EBD" w:rsidP="004E58AC">
      <w:pPr>
        <w:spacing w:after="0" w:line="240" w:lineRule="auto"/>
      </w:pPr>
      <w:r>
        <w:separator/>
      </w:r>
    </w:p>
  </w:endnote>
  <w:endnote w:type="continuationSeparator" w:id="0">
    <w:p w14:paraId="47EEF19C" w14:textId="77777777" w:rsidR="00321EBD" w:rsidRDefault="00321EBD" w:rsidP="004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AD9D" w14:textId="1663171F" w:rsidR="009A73EF" w:rsidRPr="00A213A1" w:rsidRDefault="009A73EF" w:rsidP="004E58AC">
    <w:pPr>
      <w:pStyle w:val="Footer"/>
      <w:jc w:val="right"/>
      <w:rPr>
        <w:b/>
        <w:sz w:val="18"/>
      </w:rPr>
    </w:pPr>
    <w:r>
      <w:rPr>
        <w:color w:val="002060"/>
      </w:rPr>
      <w:tab/>
    </w:r>
    <w:r w:rsidR="00A213A1" w:rsidRPr="00A213A1">
      <w:rPr>
        <w:b/>
        <w:sz w:val="18"/>
      </w:rPr>
      <w:t>Adopted</w:t>
    </w:r>
    <w:r w:rsidR="006E760D" w:rsidRPr="00A213A1">
      <w:rPr>
        <w:b/>
        <w:sz w:val="18"/>
      </w:rPr>
      <w:t xml:space="preserve"> 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31089" w14:textId="77777777" w:rsidR="00321EBD" w:rsidRDefault="00321EBD" w:rsidP="004E58AC">
      <w:pPr>
        <w:spacing w:after="0" w:line="240" w:lineRule="auto"/>
      </w:pPr>
      <w:r>
        <w:separator/>
      </w:r>
    </w:p>
  </w:footnote>
  <w:footnote w:type="continuationSeparator" w:id="0">
    <w:p w14:paraId="0DF75784" w14:textId="77777777" w:rsidR="00321EBD" w:rsidRDefault="00321EBD" w:rsidP="004E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489"/>
    <w:multiLevelType w:val="hybridMultilevel"/>
    <w:tmpl w:val="22FEB100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258"/>
    <w:multiLevelType w:val="multilevel"/>
    <w:tmpl w:val="6D26C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EE3A4B"/>
    <w:multiLevelType w:val="hybridMultilevel"/>
    <w:tmpl w:val="A684872E"/>
    <w:lvl w:ilvl="0" w:tplc="520E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D1971"/>
    <w:multiLevelType w:val="hybridMultilevel"/>
    <w:tmpl w:val="579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FC8"/>
    <w:multiLevelType w:val="hybridMultilevel"/>
    <w:tmpl w:val="10167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31AB5"/>
    <w:multiLevelType w:val="hybridMultilevel"/>
    <w:tmpl w:val="B2E0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42A88"/>
    <w:multiLevelType w:val="multilevel"/>
    <w:tmpl w:val="6C9C1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BB32AF"/>
    <w:multiLevelType w:val="hybridMultilevel"/>
    <w:tmpl w:val="6A5EFD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71932"/>
    <w:multiLevelType w:val="hybridMultilevel"/>
    <w:tmpl w:val="F0D857BC"/>
    <w:lvl w:ilvl="0" w:tplc="1DDE1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403"/>
    <w:multiLevelType w:val="hybridMultilevel"/>
    <w:tmpl w:val="CC26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E5BE8"/>
    <w:multiLevelType w:val="hybridMultilevel"/>
    <w:tmpl w:val="8BD6F356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7BAB"/>
    <w:multiLevelType w:val="hybridMultilevel"/>
    <w:tmpl w:val="2F38EC0E"/>
    <w:lvl w:ilvl="0" w:tplc="42D6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CC4"/>
    <w:multiLevelType w:val="hybridMultilevel"/>
    <w:tmpl w:val="2514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601FF"/>
    <w:multiLevelType w:val="hybridMultilevel"/>
    <w:tmpl w:val="B8925252"/>
    <w:lvl w:ilvl="0" w:tplc="B950D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E0BA5"/>
    <w:multiLevelType w:val="hybridMultilevel"/>
    <w:tmpl w:val="BB367B6A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C5134"/>
    <w:multiLevelType w:val="hybridMultilevel"/>
    <w:tmpl w:val="57AA8400"/>
    <w:lvl w:ilvl="0" w:tplc="847AC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9751F"/>
    <w:multiLevelType w:val="hybridMultilevel"/>
    <w:tmpl w:val="E03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5199"/>
    <w:multiLevelType w:val="hybridMultilevel"/>
    <w:tmpl w:val="4F2492C0"/>
    <w:lvl w:ilvl="0" w:tplc="D56C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767BF"/>
    <w:multiLevelType w:val="hybridMultilevel"/>
    <w:tmpl w:val="C4404CAC"/>
    <w:lvl w:ilvl="0" w:tplc="F4702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EB5C6E"/>
    <w:multiLevelType w:val="hybridMultilevel"/>
    <w:tmpl w:val="5178ED10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247A"/>
    <w:multiLevelType w:val="hybridMultilevel"/>
    <w:tmpl w:val="5A6080A8"/>
    <w:lvl w:ilvl="0" w:tplc="1328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93DBD"/>
    <w:multiLevelType w:val="hybridMultilevel"/>
    <w:tmpl w:val="625AA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33CB0"/>
    <w:multiLevelType w:val="hybridMultilevel"/>
    <w:tmpl w:val="C27463E0"/>
    <w:lvl w:ilvl="0" w:tplc="F17A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0007"/>
    <w:multiLevelType w:val="hybridMultilevel"/>
    <w:tmpl w:val="E806E5B0"/>
    <w:lvl w:ilvl="0" w:tplc="3B9E9D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206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725C080B"/>
    <w:multiLevelType w:val="hybridMultilevel"/>
    <w:tmpl w:val="BB76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33C47"/>
    <w:multiLevelType w:val="hybridMultilevel"/>
    <w:tmpl w:val="4122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4A0963"/>
    <w:multiLevelType w:val="hybridMultilevel"/>
    <w:tmpl w:val="7744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E714F5"/>
    <w:multiLevelType w:val="hybridMultilevel"/>
    <w:tmpl w:val="7A70B262"/>
    <w:lvl w:ilvl="0" w:tplc="C9983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65D58"/>
    <w:multiLevelType w:val="hybridMultilevel"/>
    <w:tmpl w:val="9A1E0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F37DD4"/>
    <w:multiLevelType w:val="hybridMultilevel"/>
    <w:tmpl w:val="E8AA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D116E"/>
    <w:multiLevelType w:val="hybridMultilevel"/>
    <w:tmpl w:val="A36CEC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27"/>
  </w:num>
  <w:num w:numId="7">
    <w:abstractNumId w:val="3"/>
  </w:num>
  <w:num w:numId="8">
    <w:abstractNumId w:val="24"/>
  </w:num>
  <w:num w:numId="9">
    <w:abstractNumId w:val="22"/>
  </w:num>
  <w:num w:numId="10">
    <w:abstractNumId w:val="13"/>
  </w:num>
  <w:num w:numId="11">
    <w:abstractNumId w:val="2"/>
  </w:num>
  <w:num w:numId="12">
    <w:abstractNumId w:val="25"/>
  </w:num>
  <w:num w:numId="13">
    <w:abstractNumId w:val="7"/>
  </w:num>
  <w:num w:numId="14">
    <w:abstractNumId w:val="10"/>
  </w:num>
  <w:num w:numId="15">
    <w:abstractNumId w:val="19"/>
  </w:num>
  <w:num w:numId="16">
    <w:abstractNumId w:val="21"/>
  </w:num>
  <w:num w:numId="17">
    <w:abstractNumId w:val="4"/>
  </w:num>
  <w:num w:numId="18">
    <w:abstractNumId w:val="9"/>
  </w:num>
  <w:num w:numId="19">
    <w:abstractNumId w:val="20"/>
  </w:num>
  <w:num w:numId="20">
    <w:abstractNumId w:val="30"/>
  </w:num>
  <w:num w:numId="21">
    <w:abstractNumId w:val="26"/>
  </w:num>
  <w:num w:numId="22">
    <w:abstractNumId w:val="28"/>
  </w:num>
  <w:num w:numId="23">
    <w:abstractNumId w:val="18"/>
  </w:num>
  <w:num w:numId="24">
    <w:abstractNumId w:val="29"/>
  </w:num>
  <w:num w:numId="25">
    <w:abstractNumId w:val="5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74B1946-66B2-4BDE-B44D-95B6D682AA19}"/>
    <w:docVar w:name="dgnword-eventsink" w:val="1868424170976"/>
  </w:docVars>
  <w:rsids>
    <w:rsidRoot w:val="001C43A5"/>
    <w:rsid w:val="00000091"/>
    <w:rsid w:val="00001FC9"/>
    <w:rsid w:val="00011C88"/>
    <w:rsid w:val="000259A8"/>
    <w:rsid w:val="00032542"/>
    <w:rsid w:val="000332F7"/>
    <w:rsid w:val="00035BCF"/>
    <w:rsid w:val="000376F6"/>
    <w:rsid w:val="00041D29"/>
    <w:rsid w:val="000435BD"/>
    <w:rsid w:val="00053F90"/>
    <w:rsid w:val="0006015A"/>
    <w:rsid w:val="000637F8"/>
    <w:rsid w:val="00072E93"/>
    <w:rsid w:val="000813A6"/>
    <w:rsid w:val="00091230"/>
    <w:rsid w:val="000A6677"/>
    <w:rsid w:val="000A7F73"/>
    <w:rsid w:val="000B15DA"/>
    <w:rsid w:val="000B487A"/>
    <w:rsid w:val="000C77E4"/>
    <w:rsid w:val="000D0582"/>
    <w:rsid w:val="000D2672"/>
    <w:rsid w:val="000F0E98"/>
    <w:rsid w:val="001116E5"/>
    <w:rsid w:val="00112AD9"/>
    <w:rsid w:val="00115DC9"/>
    <w:rsid w:val="00127A36"/>
    <w:rsid w:val="001424B5"/>
    <w:rsid w:val="001448A8"/>
    <w:rsid w:val="00147A65"/>
    <w:rsid w:val="00151AEE"/>
    <w:rsid w:val="00153E9C"/>
    <w:rsid w:val="00170E25"/>
    <w:rsid w:val="00174EF5"/>
    <w:rsid w:val="001860BF"/>
    <w:rsid w:val="0019672F"/>
    <w:rsid w:val="001A5D94"/>
    <w:rsid w:val="001A628E"/>
    <w:rsid w:val="001C07C8"/>
    <w:rsid w:val="001C3197"/>
    <w:rsid w:val="001C3CFA"/>
    <w:rsid w:val="001C43A5"/>
    <w:rsid w:val="001C56FD"/>
    <w:rsid w:val="001C6FAD"/>
    <w:rsid w:val="001D3622"/>
    <w:rsid w:val="001E107F"/>
    <w:rsid w:val="001E5F94"/>
    <w:rsid w:val="001E7C42"/>
    <w:rsid w:val="001F0845"/>
    <w:rsid w:val="001F4BF0"/>
    <w:rsid w:val="001F521B"/>
    <w:rsid w:val="00204A79"/>
    <w:rsid w:val="0020524C"/>
    <w:rsid w:val="0021203C"/>
    <w:rsid w:val="002326E7"/>
    <w:rsid w:val="00233940"/>
    <w:rsid w:val="0024248B"/>
    <w:rsid w:val="00261321"/>
    <w:rsid w:val="002725F5"/>
    <w:rsid w:val="00272839"/>
    <w:rsid w:val="002844B8"/>
    <w:rsid w:val="00290F32"/>
    <w:rsid w:val="0029404A"/>
    <w:rsid w:val="002945AF"/>
    <w:rsid w:val="002A53D0"/>
    <w:rsid w:val="002A670F"/>
    <w:rsid w:val="002B2B55"/>
    <w:rsid w:val="002B496A"/>
    <w:rsid w:val="002C6661"/>
    <w:rsid w:val="002D5295"/>
    <w:rsid w:val="002F6BB8"/>
    <w:rsid w:val="00301C27"/>
    <w:rsid w:val="00316EB3"/>
    <w:rsid w:val="00321EBD"/>
    <w:rsid w:val="00350FA0"/>
    <w:rsid w:val="00352A76"/>
    <w:rsid w:val="00356360"/>
    <w:rsid w:val="00357631"/>
    <w:rsid w:val="00360383"/>
    <w:rsid w:val="0037334F"/>
    <w:rsid w:val="00376065"/>
    <w:rsid w:val="00376566"/>
    <w:rsid w:val="00376EDF"/>
    <w:rsid w:val="003853AB"/>
    <w:rsid w:val="00391C26"/>
    <w:rsid w:val="00397486"/>
    <w:rsid w:val="003B6558"/>
    <w:rsid w:val="003C0DA2"/>
    <w:rsid w:val="003D34EE"/>
    <w:rsid w:val="003D5AB0"/>
    <w:rsid w:val="003D63F6"/>
    <w:rsid w:val="003D7954"/>
    <w:rsid w:val="003E5ECF"/>
    <w:rsid w:val="003F429A"/>
    <w:rsid w:val="0040262B"/>
    <w:rsid w:val="00412375"/>
    <w:rsid w:val="00414F96"/>
    <w:rsid w:val="00422A5B"/>
    <w:rsid w:val="00432E4E"/>
    <w:rsid w:val="00433258"/>
    <w:rsid w:val="00434DEE"/>
    <w:rsid w:val="00440BE5"/>
    <w:rsid w:val="004433C5"/>
    <w:rsid w:val="004475C0"/>
    <w:rsid w:val="004571C9"/>
    <w:rsid w:val="004610B8"/>
    <w:rsid w:val="00461FAE"/>
    <w:rsid w:val="00465802"/>
    <w:rsid w:val="004668A3"/>
    <w:rsid w:val="004901D8"/>
    <w:rsid w:val="004908DA"/>
    <w:rsid w:val="00491662"/>
    <w:rsid w:val="004958DF"/>
    <w:rsid w:val="004B397E"/>
    <w:rsid w:val="004C2811"/>
    <w:rsid w:val="004D59C6"/>
    <w:rsid w:val="004D5E27"/>
    <w:rsid w:val="004E00EC"/>
    <w:rsid w:val="004E200E"/>
    <w:rsid w:val="004E58AC"/>
    <w:rsid w:val="004E653A"/>
    <w:rsid w:val="004F34EF"/>
    <w:rsid w:val="004F7725"/>
    <w:rsid w:val="00511C90"/>
    <w:rsid w:val="005131CD"/>
    <w:rsid w:val="00522627"/>
    <w:rsid w:val="0052517D"/>
    <w:rsid w:val="005332BF"/>
    <w:rsid w:val="00535F1B"/>
    <w:rsid w:val="005727FC"/>
    <w:rsid w:val="00574515"/>
    <w:rsid w:val="00584608"/>
    <w:rsid w:val="005B2C9B"/>
    <w:rsid w:val="005B7CCF"/>
    <w:rsid w:val="005C30E4"/>
    <w:rsid w:val="005D1788"/>
    <w:rsid w:val="005D55F3"/>
    <w:rsid w:val="005D5D33"/>
    <w:rsid w:val="005E2170"/>
    <w:rsid w:val="005E6D48"/>
    <w:rsid w:val="005E746C"/>
    <w:rsid w:val="005F0571"/>
    <w:rsid w:val="005F6A29"/>
    <w:rsid w:val="00606482"/>
    <w:rsid w:val="006131F1"/>
    <w:rsid w:val="00613B74"/>
    <w:rsid w:val="0062732A"/>
    <w:rsid w:val="00634BC3"/>
    <w:rsid w:val="00635860"/>
    <w:rsid w:val="006358C7"/>
    <w:rsid w:val="00652073"/>
    <w:rsid w:val="006657AE"/>
    <w:rsid w:val="00666ED4"/>
    <w:rsid w:val="006A3B38"/>
    <w:rsid w:val="006C4028"/>
    <w:rsid w:val="006E760D"/>
    <w:rsid w:val="006F6DB8"/>
    <w:rsid w:val="0070732B"/>
    <w:rsid w:val="007102D4"/>
    <w:rsid w:val="0071505E"/>
    <w:rsid w:val="007240C9"/>
    <w:rsid w:val="00725F73"/>
    <w:rsid w:val="00743D55"/>
    <w:rsid w:val="00750324"/>
    <w:rsid w:val="00751B57"/>
    <w:rsid w:val="00762CAF"/>
    <w:rsid w:val="00765E32"/>
    <w:rsid w:val="00781258"/>
    <w:rsid w:val="00786857"/>
    <w:rsid w:val="007962F3"/>
    <w:rsid w:val="007E41A5"/>
    <w:rsid w:val="007E422D"/>
    <w:rsid w:val="008002B3"/>
    <w:rsid w:val="00804A4D"/>
    <w:rsid w:val="00833763"/>
    <w:rsid w:val="0083385C"/>
    <w:rsid w:val="008509F1"/>
    <w:rsid w:val="00857B87"/>
    <w:rsid w:val="0086268F"/>
    <w:rsid w:val="00866C1E"/>
    <w:rsid w:val="00871014"/>
    <w:rsid w:val="0087521D"/>
    <w:rsid w:val="008757E9"/>
    <w:rsid w:val="0087581F"/>
    <w:rsid w:val="00876258"/>
    <w:rsid w:val="008837B2"/>
    <w:rsid w:val="00883F31"/>
    <w:rsid w:val="008854F3"/>
    <w:rsid w:val="0088759B"/>
    <w:rsid w:val="00893362"/>
    <w:rsid w:val="008964BB"/>
    <w:rsid w:val="008A697D"/>
    <w:rsid w:val="008B1083"/>
    <w:rsid w:val="008B419E"/>
    <w:rsid w:val="008C0E17"/>
    <w:rsid w:val="008C6CE0"/>
    <w:rsid w:val="008C758C"/>
    <w:rsid w:val="008D0E38"/>
    <w:rsid w:val="008D1D73"/>
    <w:rsid w:val="008E542C"/>
    <w:rsid w:val="008E61D0"/>
    <w:rsid w:val="008E6D63"/>
    <w:rsid w:val="008F1491"/>
    <w:rsid w:val="008F5175"/>
    <w:rsid w:val="008F775A"/>
    <w:rsid w:val="00902578"/>
    <w:rsid w:val="0091710B"/>
    <w:rsid w:val="009322CC"/>
    <w:rsid w:val="00935284"/>
    <w:rsid w:val="0094799C"/>
    <w:rsid w:val="009602F0"/>
    <w:rsid w:val="00973EC7"/>
    <w:rsid w:val="009853A7"/>
    <w:rsid w:val="00986CE1"/>
    <w:rsid w:val="009945CB"/>
    <w:rsid w:val="009968D4"/>
    <w:rsid w:val="009A11E5"/>
    <w:rsid w:val="009A3091"/>
    <w:rsid w:val="009A52B1"/>
    <w:rsid w:val="009A5AAA"/>
    <w:rsid w:val="009A73EF"/>
    <w:rsid w:val="009B6584"/>
    <w:rsid w:val="009C0D4A"/>
    <w:rsid w:val="009C296A"/>
    <w:rsid w:val="009D046B"/>
    <w:rsid w:val="009D04C7"/>
    <w:rsid w:val="009D61BD"/>
    <w:rsid w:val="009E12AF"/>
    <w:rsid w:val="009F25C1"/>
    <w:rsid w:val="009F323A"/>
    <w:rsid w:val="009F3D14"/>
    <w:rsid w:val="00A0555F"/>
    <w:rsid w:val="00A213A1"/>
    <w:rsid w:val="00A3037A"/>
    <w:rsid w:val="00A41FFB"/>
    <w:rsid w:val="00A45ACF"/>
    <w:rsid w:val="00A479FC"/>
    <w:rsid w:val="00A5691B"/>
    <w:rsid w:val="00A715A6"/>
    <w:rsid w:val="00A719E3"/>
    <w:rsid w:val="00A71E4F"/>
    <w:rsid w:val="00A7290E"/>
    <w:rsid w:val="00A80D8F"/>
    <w:rsid w:val="00A8195C"/>
    <w:rsid w:val="00A83317"/>
    <w:rsid w:val="00A93547"/>
    <w:rsid w:val="00AA0C88"/>
    <w:rsid w:val="00AA2216"/>
    <w:rsid w:val="00AB237E"/>
    <w:rsid w:val="00AB5191"/>
    <w:rsid w:val="00AB640D"/>
    <w:rsid w:val="00AB727F"/>
    <w:rsid w:val="00AC5104"/>
    <w:rsid w:val="00AC7FAC"/>
    <w:rsid w:val="00AD2269"/>
    <w:rsid w:val="00AD2DC2"/>
    <w:rsid w:val="00AD5BC0"/>
    <w:rsid w:val="00AE4341"/>
    <w:rsid w:val="00AE552A"/>
    <w:rsid w:val="00AF10CE"/>
    <w:rsid w:val="00AF4E58"/>
    <w:rsid w:val="00B13C2D"/>
    <w:rsid w:val="00B2023A"/>
    <w:rsid w:val="00B249F0"/>
    <w:rsid w:val="00B24BCC"/>
    <w:rsid w:val="00B26A2C"/>
    <w:rsid w:val="00B377CE"/>
    <w:rsid w:val="00B37B2F"/>
    <w:rsid w:val="00B41B80"/>
    <w:rsid w:val="00B46ADC"/>
    <w:rsid w:val="00B46FAE"/>
    <w:rsid w:val="00B62D39"/>
    <w:rsid w:val="00B66435"/>
    <w:rsid w:val="00B737AE"/>
    <w:rsid w:val="00B81259"/>
    <w:rsid w:val="00B86FEA"/>
    <w:rsid w:val="00BA006C"/>
    <w:rsid w:val="00BA0A6A"/>
    <w:rsid w:val="00BA110C"/>
    <w:rsid w:val="00BB136B"/>
    <w:rsid w:val="00BB2244"/>
    <w:rsid w:val="00BC2D6C"/>
    <w:rsid w:val="00BC74C6"/>
    <w:rsid w:val="00BD37CE"/>
    <w:rsid w:val="00BE1341"/>
    <w:rsid w:val="00BE42F4"/>
    <w:rsid w:val="00BF4E9D"/>
    <w:rsid w:val="00BF73B7"/>
    <w:rsid w:val="00C01F33"/>
    <w:rsid w:val="00C05050"/>
    <w:rsid w:val="00C1081A"/>
    <w:rsid w:val="00C12350"/>
    <w:rsid w:val="00C13D27"/>
    <w:rsid w:val="00C17542"/>
    <w:rsid w:val="00C217E5"/>
    <w:rsid w:val="00C257F6"/>
    <w:rsid w:val="00C348B1"/>
    <w:rsid w:val="00C37F57"/>
    <w:rsid w:val="00C448D0"/>
    <w:rsid w:val="00C455EF"/>
    <w:rsid w:val="00C5293B"/>
    <w:rsid w:val="00C52AB3"/>
    <w:rsid w:val="00C54F30"/>
    <w:rsid w:val="00C54F56"/>
    <w:rsid w:val="00C613F6"/>
    <w:rsid w:val="00C6727F"/>
    <w:rsid w:val="00C67CFC"/>
    <w:rsid w:val="00C870F8"/>
    <w:rsid w:val="00C96E67"/>
    <w:rsid w:val="00CA1748"/>
    <w:rsid w:val="00CA533C"/>
    <w:rsid w:val="00CA5B79"/>
    <w:rsid w:val="00CC2608"/>
    <w:rsid w:val="00CD6B0B"/>
    <w:rsid w:val="00CF3505"/>
    <w:rsid w:val="00D127FE"/>
    <w:rsid w:val="00D21B87"/>
    <w:rsid w:val="00D226E6"/>
    <w:rsid w:val="00D23ADB"/>
    <w:rsid w:val="00D34399"/>
    <w:rsid w:val="00D367FE"/>
    <w:rsid w:val="00D40BC9"/>
    <w:rsid w:val="00D42873"/>
    <w:rsid w:val="00D502E7"/>
    <w:rsid w:val="00D542A6"/>
    <w:rsid w:val="00D57A3B"/>
    <w:rsid w:val="00D67A2E"/>
    <w:rsid w:val="00D70986"/>
    <w:rsid w:val="00D80BD9"/>
    <w:rsid w:val="00D80DD9"/>
    <w:rsid w:val="00D8391A"/>
    <w:rsid w:val="00D83C64"/>
    <w:rsid w:val="00DA2F8B"/>
    <w:rsid w:val="00DA32F8"/>
    <w:rsid w:val="00DB6E42"/>
    <w:rsid w:val="00DC16CC"/>
    <w:rsid w:val="00DC45A0"/>
    <w:rsid w:val="00DE3F93"/>
    <w:rsid w:val="00DF5B3D"/>
    <w:rsid w:val="00E00AC8"/>
    <w:rsid w:val="00E0155C"/>
    <w:rsid w:val="00E030A8"/>
    <w:rsid w:val="00E11022"/>
    <w:rsid w:val="00E14199"/>
    <w:rsid w:val="00E14D73"/>
    <w:rsid w:val="00E15A5D"/>
    <w:rsid w:val="00E22DDF"/>
    <w:rsid w:val="00E34B8A"/>
    <w:rsid w:val="00E364FB"/>
    <w:rsid w:val="00E5675C"/>
    <w:rsid w:val="00E60604"/>
    <w:rsid w:val="00E61D1B"/>
    <w:rsid w:val="00E70510"/>
    <w:rsid w:val="00E7249D"/>
    <w:rsid w:val="00E73D1A"/>
    <w:rsid w:val="00E76D70"/>
    <w:rsid w:val="00E924C5"/>
    <w:rsid w:val="00EA5FBE"/>
    <w:rsid w:val="00EA7AC1"/>
    <w:rsid w:val="00EB1721"/>
    <w:rsid w:val="00EE2B88"/>
    <w:rsid w:val="00F02B2B"/>
    <w:rsid w:val="00F21AA0"/>
    <w:rsid w:val="00F25F7D"/>
    <w:rsid w:val="00F41594"/>
    <w:rsid w:val="00F57FE9"/>
    <w:rsid w:val="00F64D88"/>
    <w:rsid w:val="00F65667"/>
    <w:rsid w:val="00F672D9"/>
    <w:rsid w:val="00F7370E"/>
    <w:rsid w:val="00F845DB"/>
    <w:rsid w:val="00F911AD"/>
    <w:rsid w:val="00FB1D4D"/>
    <w:rsid w:val="00FB5E9D"/>
    <w:rsid w:val="00FB6886"/>
    <w:rsid w:val="00FD7BC7"/>
    <w:rsid w:val="00FF1F92"/>
    <w:rsid w:val="00FF59F3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4DC0"/>
  <w15:docId w15:val="{D7709D90-D751-4013-BAE2-397ED4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0A8"/>
    <w:pPr>
      <w:ind w:left="720"/>
      <w:contextualSpacing/>
    </w:pPr>
  </w:style>
  <w:style w:type="paragraph" w:styleId="NoSpacing">
    <w:name w:val="No Spacing"/>
    <w:uiPriority w:val="1"/>
    <w:qFormat/>
    <w:rsid w:val="00242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C"/>
  </w:style>
  <w:style w:type="paragraph" w:styleId="Footer">
    <w:name w:val="footer"/>
    <w:basedOn w:val="Normal"/>
    <w:link w:val="Foot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B805-0418-45FE-8DE7-D45EBC43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Hurtig</dc:creator>
  <cp:lastModifiedBy>Dejesus, Jessica</cp:lastModifiedBy>
  <cp:revision>10</cp:revision>
  <cp:lastPrinted>2016-05-02T13:18:00Z</cp:lastPrinted>
  <dcterms:created xsi:type="dcterms:W3CDTF">2020-02-19T20:21:00Z</dcterms:created>
  <dcterms:modified xsi:type="dcterms:W3CDTF">2021-02-11T16:53:00Z</dcterms:modified>
</cp:coreProperties>
</file>