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73CF" w14:textId="77777777" w:rsidR="004F7725" w:rsidRDefault="004F7725" w:rsidP="00B249F0">
      <w:pPr>
        <w:spacing w:after="0" w:line="240" w:lineRule="auto"/>
        <w:rPr>
          <w:rFonts w:asciiTheme="majorHAnsi" w:hAnsiTheme="majorHAnsi" w:cs="Tahoma"/>
          <w:b/>
          <w:color w:val="C00000"/>
          <w:sz w:val="24"/>
          <w:szCs w:val="30"/>
        </w:rPr>
      </w:pPr>
    </w:p>
    <w:p w14:paraId="053DA0A6" w14:textId="77777777" w:rsidR="006C4028" w:rsidRPr="008B419E" w:rsidRDefault="006C4028" w:rsidP="008B419E">
      <w:pPr>
        <w:spacing w:after="0" w:line="240" w:lineRule="auto"/>
        <w:jc w:val="center"/>
        <w:rPr>
          <w:rFonts w:asciiTheme="majorHAnsi" w:hAnsiTheme="majorHAnsi" w:cs="Tahoma"/>
          <w:b/>
          <w:color w:val="C00000"/>
          <w:sz w:val="24"/>
          <w:szCs w:val="30"/>
        </w:rPr>
      </w:pPr>
    </w:p>
    <w:p w14:paraId="2848A89E" w14:textId="6C4A4884" w:rsidR="004433C5" w:rsidRPr="004668A3" w:rsidRDefault="005F3550" w:rsidP="004433C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Weitzman School of Design</w:t>
      </w:r>
    </w:p>
    <w:p w14:paraId="0679849A" w14:textId="77777777" w:rsidR="006C4028" w:rsidRPr="004668A3" w:rsidRDefault="006C4028" w:rsidP="004F7725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002060"/>
        </w:rPr>
      </w:pPr>
      <w:r w:rsidRPr="004668A3">
        <w:rPr>
          <w:rFonts w:asciiTheme="minorHAnsi" w:hAnsiTheme="minorHAnsi" w:cstheme="minorHAnsi"/>
          <w:color w:val="002060"/>
        </w:rPr>
        <w:t>Indirect Cost Recovery Faculty Allocation Policy</w:t>
      </w:r>
      <w:r w:rsidR="00666ED4" w:rsidRPr="00666ED4">
        <w:rPr>
          <w:rFonts w:asciiTheme="minorHAnsi" w:hAnsiTheme="minorHAnsi" w:cstheme="minorHAnsi"/>
          <w:color w:val="002060"/>
          <w:vertAlign w:val="superscript"/>
        </w:rPr>
        <w:t>*</w:t>
      </w:r>
    </w:p>
    <w:p w14:paraId="7EE0BB31" w14:textId="77777777" w:rsidR="004F7725" w:rsidRPr="004F7725" w:rsidRDefault="004F7725" w:rsidP="004F7725"/>
    <w:p w14:paraId="0E7A504C" w14:textId="77777777" w:rsidR="006C4028" w:rsidRPr="004433C5" w:rsidRDefault="006C4028" w:rsidP="008B419E">
      <w:pPr>
        <w:pStyle w:val="Heading1"/>
        <w:rPr>
          <w:rFonts w:asciiTheme="minorHAnsi" w:hAnsiTheme="minorHAnsi" w:cstheme="minorHAnsi"/>
          <w:color w:val="002060"/>
          <w:sz w:val="28"/>
          <w:u w:val="single"/>
        </w:rPr>
      </w:pPr>
      <w:r w:rsidRPr="004433C5">
        <w:rPr>
          <w:rFonts w:asciiTheme="minorHAnsi" w:hAnsiTheme="minorHAnsi" w:cstheme="minorHAnsi"/>
          <w:color w:val="002060"/>
          <w:sz w:val="24"/>
          <w:u w:val="single"/>
        </w:rPr>
        <w:t>Purpose</w:t>
      </w:r>
      <w:r w:rsidR="008B419E" w:rsidRPr="004433C5">
        <w:rPr>
          <w:rFonts w:asciiTheme="minorHAnsi" w:hAnsiTheme="minorHAnsi" w:cstheme="minorHAnsi"/>
          <w:color w:val="002060"/>
          <w:sz w:val="28"/>
          <w:u w:val="single"/>
        </w:rPr>
        <w:t xml:space="preserve">  </w:t>
      </w:r>
    </w:p>
    <w:p w14:paraId="05673314" w14:textId="6480B188" w:rsidR="00AB640D" w:rsidRPr="004433C5" w:rsidRDefault="008B419E" w:rsidP="008B419E">
      <w:pPr>
        <w:rPr>
          <w:rFonts w:cstheme="minorHAnsi"/>
          <w:color w:val="002060"/>
        </w:rPr>
      </w:pPr>
      <w:r w:rsidRPr="004433C5">
        <w:rPr>
          <w:rFonts w:cstheme="minorHAnsi"/>
          <w:color w:val="002060"/>
        </w:rPr>
        <w:t xml:space="preserve">In order to recognize the </w:t>
      </w:r>
      <w:r w:rsidR="00AB640D" w:rsidRPr="004433C5">
        <w:rPr>
          <w:rFonts w:cstheme="minorHAnsi"/>
          <w:color w:val="002060"/>
        </w:rPr>
        <w:t xml:space="preserve">extraordinary research </w:t>
      </w:r>
      <w:r w:rsidR="004433C5">
        <w:rPr>
          <w:rFonts w:cstheme="minorHAnsi"/>
          <w:color w:val="002060"/>
        </w:rPr>
        <w:t xml:space="preserve">efforts of </w:t>
      </w:r>
      <w:r w:rsidR="00DC45A0">
        <w:rPr>
          <w:rFonts w:cstheme="minorHAnsi"/>
          <w:color w:val="002060"/>
        </w:rPr>
        <w:t xml:space="preserve">the </w:t>
      </w:r>
      <w:r w:rsidR="005F3550">
        <w:rPr>
          <w:rFonts w:cstheme="minorHAnsi"/>
          <w:color w:val="002060"/>
        </w:rPr>
        <w:t>Weitzman</w:t>
      </w:r>
      <w:r w:rsidR="004433C5" w:rsidRPr="004433C5">
        <w:rPr>
          <w:rFonts w:cstheme="minorHAnsi"/>
          <w:color w:val="002060"/>
        </w:rPr>
        <w:t xml:space="preserve"> </w:t>
      </w:r>
      <w:r w:rsidR="00AB640D" w:rsidRPr="004433C5">
        <w:rPr>
          <w:rFonts w:cstheme="minorHAnsi"/>
          <w:color w:val="002060"/>
        </w:rPr>
        <w:t>faculty</w:t>
      </w:r>
      <w:r w:rsidR="00AE4341">
        <w:rPr>
          <w:rFonts w:cstheme="minorHAnsi"/>
          <w:color w:val="002060"/>
        </w:rPr>
        <w:t xml:space="preserve"> (see eligibility)</w:t>
      </w:r>
      <w:r w:rsidR="00BC2D6C">
        <w:rPr>
          <w:rFonts w:cstheme="minorHAnsi"/>
          <w:color w:val="002060"/>
        </w:rPr>
        <w:t>, and to encourage</w:t>
      </w:r>
      <w:r w:rsidR="004433C5">
        <w:rPr>
          <w:rFonts w:cstheme="minorHAnsi"/>
          <w:color w:val="002060"/>
        </w:rPr>
        <w:t xml:space="preserve"> new research</w:t>
      </w:r>
      <w:r w:rsidR="00DC45A0">
        <w:rPr>
          <w:rFonts w:cstheme="minorHAnsi"/>
          <w:color w:val="002060"/>
        </w:rPr>
        <w:t xml:space="preserve"> and participation in the external sponsored proposal process</w:t>
      </w:r>
      <w:r w:rsidR="004433C5">
        <w:rPr>
          <w:rFonts w:cstheme="minorHAnsi"/>
          <w:color w:val="002060"/>
        </w:rPr>
        <w:t>, the School will share 20% of the indirect costs recovered from the University</w:t>
      </w:r>
      <w:r w:rsidR="00BC2D6C">
        <w:rPr>
          <w:rFonts w:cstheme="minorHAnsi"/>
          <w:color w:val="002060"/>
        </w:rPr>
        <w:t xml:space="preserve"> with </w:t>
      </w:r>
      <w:r w:rsidR="00DC45A0">
        <w:rPr>
          <w:rFonts w:cstheme="minorHAnsi"/>
          <w:color w:val="002060"/>
        </w:rPr>
        <w:t>principal inv</w:t>
      </w:r>
      <w:r w:rsidR="00BC2D6C">
        <w:rPr>
          <w:rFonts w:cstheme="minorHAnsi"/>
          <w:color w:val="002060"/>
        </w:rPr>
        <w:t>estigators</w:t>
      </w:r>
      <w:r w:rsidR="00DC45A0">
        <w:rPr>
          <w:rFonts w:cstheme="minorHAnsi"/>
          <w:color w:val="002060"/>
        </w:rPr>
        <w:t xml:space="preserve">. </w:t>
      </w:r>
      <w:r w:rsidR="004433C5">
        <w:rPr>
          <w:rFonts w:cstheme="minorHAnsi"/>
          <w:color w:val="002060"/>
        </w:rPr>
        <w:t xml:space="preserve"> </w:t>
      </w:r>
      <w:r w:rsidR="00AB640D" w:rsidRPr="004433C5">
        <w:rPr>
          <w:rFonts w:cstheme="minorHAnsi"/>
          <w:color w:val="002060"/>
        </w:rPr>
        <w:t xml:space="preserve"> </w:t>
      </w:r>
    </w:p>
    <w:p w14:paraId="631F33F8" w14:textId="77777777" w:rsidR="00A5691B" w:rsidRPr="004433C5" w:rsidRDefault="00A5691B" w:rsidP="00A5691B">
      <w:pPr>
        <w:spacing w:after="0" w:line="240" w:lineRule="auto"/>
        <w:rPr>
          <w:rFonts w:cstheme="minorHAnsi"/>
          <w:color w:val="002060"/>
          <w:sz w:val="24"/>
          <w:u w:val="single"/>
        </w:rPr>
      </w:pPr>
      <w:r w:rsidRPr="004433C5">
        <w:rPr>
          <w:rFonts w:cstheme="minorHAnsi"/>
          <w:color w:val="002060"/>
          <w:sz w:val="24"/>
          <w:u w:val="single"/>
        </w:rPr>
        <w:t>Definition</w:t>
      </w:r>
    </w:p>
    <w:p w14:paraId="3F19A9A7" w14:textId="77777777" w:rsidR="009D046B" w:rsidRPr="003D63F6" w:rsidRDefault="00A5691B" w:rsidP="00AE4341">
      <w:pPr>
        <w:spacing w:after="0"/>
        <w:rPr>
          <w:rFonts w:cstheme="minorHAnsi"/>
          <w:color w:val="002060"/>
        </w:rPr>
      </w:pPr>
      <w:r w:rsidRPr="004433C5">
        <w:rPr>
          <w:rFonts w:cstheme="minorHAnsi"/>
          <w:color w:val="002060"/>
        </w:rPr>
        <w:t xml:space="preserve">Facilities and Administration (F&amp;A) cost is another term used for indirect cost. F&amp;A/Indirect cost are calculated based on the direct expenditures of sponsored </w:t>
      </w:r>
      <w:r w:rsidR="00DC45A0">
        <w:rPr>
          <w:rFonts w:cstheme="minorHAnsi"/>
          <w:color w:val="002060"/>
        </w:rPr>
        <w:t xml:space="preserve">projects.  </w:t>
      </w:r>
      <w:r w:rsidRPr="004433C5">
        <w:rPr>
          <w:rFonts w:cstheme="minorHAnsi"/>
          <w:color w:val="002060"/>
        </w:rPr>
        <w:t>Examples of F&amp;A/Indirect Cost are building space, heating, lighting, library expenses, accounting, payroll, central and depa</w:t>
      </w:r>
      <w:r w:rsidR="00DC45A0">
        <w:rPr>
          <w:rFonts w:cstheme="minorHAnsi"/>
          <w:color w:val="002060"/>
        </w:rPr>
        <w:t>rtmental administration. The School</w:t>
      </w:r>
      <w:r w:rsidRPr="004433C5">
        <w:rPr>
          <w:rFonts w:cstheme="minorHAnsi"/>
          <w:color w:val="002060"/>
        </w:rPr>
        <w:t xml:space="preserve"> will apply the appropriate F&amp;A rate to the direct cost of the project based</w:t>
      </w:r>
      <w:r w:rsidR="00C455EF">
        <w:rPr>
          <w:rFonts w:cstheme="minorHAnsi"/>
          <w:color w:val="002060"/>
        </w:rPr>
        <w:t xml:space="preserve"> on either the University’s federal pre-negotiated rates, a non-</w:t>
      </w:r>
      <w:r w:rsidR="00C6727F">
        <w:rPr>
          <w:rFonts w:cstheme="minorHAnsi"/>
          <w:color w:val="002060"/>
        </w:rPr>
        <w:t>negot</w:t>
      </w:r>
      <w:r w:rsidR="00C455EF">
        <w:rPr>
          <w:rFonts w:cstheme="minorHAnsi"/>
          <w:color w:val="002060"/>
        </w:rPr>
        <w:t>iable</w:t>
      </w:r>
      <w:r w:rsidR="00C6727F">
        <w:rPr>
          <w:rFonts w:cstheme="minorHAnsi"/>
          <w:color w:val="002060"/>
        </w:rPr>
        <w:t xml:space="preserve"> rate allowable by the sponsor</w:t>
      </w:r>
      <w:r w:rsidR="00C455EF">
        <w:rPr>
          <w:rFonts w:cstheme="minorHAnsi"/>
          <w:color w:val="002060"/>
        </w:rPr>
        <w:t xml:space="preserve"> (i.e. foundations), or the</w:t>
      </w:r>
      <w:r w:rsidR="00C6727F">
        <w:rPr>
          <w:rFonts w:cstheme="minorHAnsi"/>
          <w:color w:val="002060"/>
        </w:rPr>
        <w:t xml:space="preserve"> </w:t>
      </w:r>
      <w:r w:rsidR="00C455EF">
        <w:rPr>
          <w:rFonts w:cstheme="minorHAnsi"/>
          <w:color w:val="002060"/>
        </w:rPr>
        <w:t xml:space="preserve">rate in a </w:t>
      </w:r>
      <w:r w:rsidR="00C6727F">
        <w:rPr>
          <w:rFonts w:cstheme="minorHAnsi"/>
          <w:color w:val="002060"/>
        </w:rPr>
        <w:t>fully executed cooperative agreement</w:t>
      </w:r>
      <w:r w:rsidRPr="004433C5">
        <w:rPr>
          <w:rFonts w:cstheme="minorHAnsi"/>
          <w:color w:val="002060"/>
        </w:rPr>
        <w:t>.</w:t>
      </w:r>
      <w:r w:rsidR="00C455EF">
        <w:rPr>
          <w:rFonts w:cstheme="minorHAnsi"/>
          <w:color w:val="002060"/>
        </w:rPr>
        <w:t xml:space="preserve">  </w:t>
      </w:r>
      <w:r w:rsidR="00786857">
        <w:rPr>
          <w:rFonts w:cstheme="minorHAnsi"/>
          <w:color w:val="002060"/>
          <w:sz w:val="24"/>
        </w:rPr>
        <w:t xml:space="preserve"> </w:t>
      </w:r>
    </w:p>
    <w:p w14:paraId="568E4F79" w14:textId="77777777" w:rsidR="00AE4341" w:rsidRDefault="00AE4341" w:rsidP="00AD5BC0">
      <w:pPr>
        <w:spacing w:after="0"/>
        <w:rPr>
          <w:rFonts w:cstheme="minorHAnsi"/>
          <w:color w:val="002060"/>
          <w:sz w:val="24"/>
          <w:u w:val="single"/>
        </w:rPr>
      </w:pPr>
    </w:p>
    <w:p w14:paraId="2C8BACB3" w14:textId="77777777" w:rsidR="00AE4341" w:rsidRDefault="00C52AB3" w:rsidP="00AD5BC0">
      <w:pPr>
        <w:spacing w:after="0"/>
        <w:rPr>
          <w:rFonts w:cstheme="minorHAnsi"/>
          <w:color w:val="002060"/>
          <w:sz w:val="24"/>
          <w:u w:val="single"/>
        </w:rPr>
      </w:pPr>
      <w:r>
        <w:rPr>
          <w:rFonts w:cstheme="minorHAnsi"/>
          <w:color w:val="002060"/>
          <w:sz w:val="24"/>
          <w:u w:val="single"/>
        </w:rPr>
        <w:t>Eligibility</w:t>
      </w:r>
    </w:p>
    <w:p w14:paraId="056D1D68" w14:textId="4E8F6834" w:rsidR="005D1788" w:rsidRDefault="00C52AB3" w:rsidP="00AD5BC0">
      <w:pPr>
        <w:spacing w:after="0"/>
        <w:rPr>
          <w:rFonts w:eastAsia="Times New Roman" w:cstheme="minorHAnsi"/>
          <w:color w:val="002060"/>
        </w:rPr>
      </w:pPr>
      <w:r>
        <w:rPr>
          <w:rFonts w:cstheme="minorHAnsi"/>
          <w:color w:val="002060"/>
        </w:rPr>
        <w:t xml:space="preserve">Eligible </w:t>
      </w:r>
      <w:r w:rsidR="005F3550">
        <w:rPr>
          <w:rFonts w:cstheme="minorHAnsi"/>
          <w:color w:val="002060"/>
        </w:rPr>
        <w:t>Weitzman</w:t>
      </w:r>
      <w:r w:rsidR="003D63F6" w:rsidRPr="00AE4341">
        <w:rPr>
          <w:rFonts w:cstheme="minorHAnsi"/>
          <w:color w:val="002060"/>
        </w:rPr>
        <w:t xml:space="preserve"> </w:t>
      </w:r>
      <w:r w:rsidR="00AE4341" w:rsidRPr="00AE4341">
        <w:rPr>
          <w:rFonts w:cstheme="minorHAnsi"/>
          <w:color w:val="002060"/>
        </w:rPr>
        <w:t xml:space="preserve">faculty include </w:t>
      </w:r>
      <w:r w:rsidR="00AE4341">
        <w:rPr>
          <w:rFonts w:cstheme="minorHAnsi"/>
          <w:color w:val="002060"/>
        </w:rPr>
        <w:t>standing, associated (adjuncts and practice professors) and full time non-standing faculty (i.e., senior lecturers, lecturer As, and faculty-administrators)</w:t>
      </w:r>
      <w:r w:rsidR="00C348B1">
        <w:rPr>
          <w:rFonts w:cstheme="minorHAnsi"/>
          <w:color w:val="002060"/>
        </w:rPr>
        <w:t xml:space="preserve"> who are the principal investigators of an award made to </w:t>
      </w:r>
      <w:r w:rsidR="005F3550">
        <w:rPr>
          <w:rFonts w:cstheme="minorHAnsi"/>
          <w:color w:val="002060"/>
        </w:rPr>
        <w:t>Weitzman</w:t>
      </w:r>
      <w:r w:rsidR="00C348B1">
        <w:rPr>
          <w:rFonts w:cstheme="minorHAnsi"/>
          <w:color w:val="002060"/>
        </w:rPr>
        <w:t xml:space="preserve"> through the </w:t>
      </w:r>
      <w:r w:rsidR="00C348B1" w:rsidRPr="00D21B87">
        <w:rPr>
          <w:rFonts w:cstheme="minorHAnsi"/>
          <w:color w:val="002060"/>
          <w:u w:val="single"/>
        </w:rPr>
        <w:t>Office of Research Services</w:t>
      </w:r>
      <w:r w:rsidR="00C348B1">
        <w:rPr>
          <w:rFonts w:cstheme="minorHAnsi"/>
          <w:color w:val="002060"/>
        </w:rPr>
        <w:t xml:space="preserve"> (ORA)</w:t>
      </w:r>
      <w:r w:rsidR="00AE4341">
        <w:rPr>
          <w:rFonts w:cstheme="minorHAnsi"/>
          <w:color w:val="002060"/>
        </w:rPr>
        <w:t>.</w:t>
      </w:r>
      <w:r w:rsidR="00C348B1">
        <w:rPr>
          <w:rFonts w:cstheme="minorHAnsi"/>
          <w:color w:val="002060"/>
        </w:rPr>
        <w:t xml:space="preserve">  </w:t>
      </w:r>
      <w:r w:rsidR="00B249F0">
        <w:rPr>
          <w:rFonts w:cstheme="minorHAnsi"/>
          <w:color w:val="002060"/>
        </w:rPr>
        <w:t>N</w:t>
      </w:r>
      <w:r w:rsidR="005B7CCF">
        <w:rPr>
          <w:rFonts w:cstheme="minorHAnsi"/>
          <w:color w:val="002060"/>
        </w:rPr>
        <w:t>on-standing faculty</w:t>
      </w:r>
      <w:r w:rsidR="00AE4341">
        <w:rPr>
          <w:rFonts w:cstheme="minorHAnsi"/>
          <w:color w:val="002060"/>
        </w:rPr>
        <w:t xml:space="preserve"> </w:t>
      </w:r>
      <w:r w:rsidR="002725F5">
        <w:rPr>
          <w:rFonts w:cstheme="minorHAnsi"/>
          <w:color w:val="002060"/>
        </w:rPr>
        <w:t xml:space="preserve">proposals/awards </w:t>
      </w:r>
      <w:r w:rsidR="005B7CCF">
        <w:rPr>
          <w:rFonts w:cstheme="minorHAnsi"/>
          <w:color w:val="002060"/>
        </w:rPr>
        <w:t xml:space="preserve">require </w:t>
      </w:r>
      <w:r w:rsidR="00AE4341" w:rsidRPr="00AE4341">
        <w:rPr>
          <w:rFonts w:eastAsia="Times New Roman" w:cstheme="minorHAnsi"/>
          <w:color w:val="002060"/>
        </w:rPr>
        <w:t xml:space="preserve">a </w:t>
      </w:r>
      <w:r w:rsidR="00AE4341" w:rsidRPr="00AE4341">
        <w:rPr>
          <w:rFonts w:eastAsia="Times New Roman" w:cstheme="minorHAnsi"/>
          <w:color w:val="002060"/>
          <w:u w:val="single"/>
        </w:rPr>
        <w:t>standing faculty sponsor</w:t>
      </w:r>
      <w:r w:rsidR="00AE4341" w:rsidRPr="00AE4341">
        <w:rPr>
          <w:rFonts w:eastAsia="Times New Roman" w:cstheme="minorHAnsi"/>
          <w:color w:val="002060"/>
        </w:rPr>
        <w:t>.</w:t>
      </w:r>
      <w:r>
        <w:rPr>
          <w:rFonts w:eastAsia="Times New Roman" w:cstheme="minorHAnsi"/>
          <w:color w:val="002060"/>
        </w:rPr>
        <w:t xml:space="preserve">  </w:t>
      </w:r>
      <w:r w:rsidR="005D1788">
        <w:rPr>
          <w:rFonts w:eastAsia="Times New Roman" w:cstheme="minorHAnsi"/>
          <w:color w:val="002060"/>
        </w:rPr>
        <w:t>If</w:t>
      </w:r>
      <w:r w:rsidR="00511C90">
        <w:rPr>
          <w:rFonts w:eastAsia="Times New Roman" w:cstheme="minorHAnsi"/>
          <w:color w:val="002060"/>
        </w:rPr>
        <w:t>,</w:t>
      </w:r>
      <w:r w:rsidR="005D1788">
        <w:rPr>
          <w:rFonts w:eastAsia="Times New Roman" w:cstheme="minorHAnsi"/>
          <w:color w:val="002060"/>
        </w:rPr>
        <w:t xml:space="preserve"> for whatever reason</w:t>
      </w:r>
      <w:r w:rsidR="00511C90">
        <w:rPr>
          <w:rFonts w:eastAsia="Times New Roman" w:cstheme="minorHAnsi"/>
          <w:color w:val="002060"/>
        </w:rPr>
        <w:t>,</w:t>
      </w:r>
      <w:r w:rsidR="005D1788">
        <w:rPr>
          <w:rFonts w:eastAsia="Times New Roman" w:cstheme="minorHAnsi"/>
          <w:color w:val="002060"/>
        </w:rPr>
        <w:t xml:space="preserve"> the non-standing faculty is unable to fulfill his/her obligations, a</w:t>
      </w:r>
      <w:r>
        <w:rPr>
          <w:rFonts w:eastAsia="Times New Roman" w:cstheme="minorHAnsi"/>
          <w:color w:val="002060"/>
        </w:rPr>
        <w:t xml:space="preserve"> standing </w:t>
      </w:r>
      <w:r w:rsidR="00B249F0">
        <w:rPr>
          <w:rFonts w:eastAsia="Times New Roman" w:cstheme="minorHAnsi"/>
          <w:color w:val="002060"/>
        </w:rPr>
        <w:t>faculty sponsor</w:t>
      </w:r>
      <w:r>
        <w:rPr>
          <w:rFonts w:eastAsia="Times New Roman" w:cstheme="minorHAnsi"/>
          <w:color w:val="002060"/>
        </w:rPr>
        <w:t xml:space="preserve"> </w:t>
      </w:r>
      <w:r w:rsidR="002725F5">
        <w:rPr>
          <w:rFonts w:eastAsia="Times New Roman" w:cstheme="minorHAnsi"/>
          <w:color w:val="002060"/>
        </w:rPr>
        <w:t>assume</w:t>
      </w:r>
      <w:r>
        <w:rPr>
          <w:rFonts w:eastAsia="Times New Roman" w:cstheme="minorHAnsi"/>
          <w:color w:val="002060"/>
        </w:rPr>
        <w:t>s</w:t>
      </w:r>
      <w:r w:rsidR="002725F5">
        <w:rPr>
          <w:rFonts w:eastAsia="Times New Roman" w:cstheme="minorHAnsi"/>
          <w:color w:val="002060"/>
        </w:rPr>
        <w:t xml:space="preserve"> full responsibility</w:t>
      </w:r>
      <w:r>
        <w:rPr>
          <w:rFonts w:eastAsia="Times New Roman" w:cstheme="minorHAnsi"/>
          <w:color w:val="002060"/>
        </w:rPr>
        <w:t xml:space="preserve"> for </w:t>
      </w:r>
      <w:r w:rsidR="00B249F0">
        <w:rPr>
          <w:rFonts w:eastAsia="Times New Roman" w:cstheme="minorHAnsi"/>
          <w:color w:val="002060"/>
        </w:rPr>
        <w:t xml:space="preserve">the </w:t>
      </w:r>
      <w:r>
        <w:rPr>
          <w:rFonts w:eastAsia="Times New Roman" w:cstheme="minorHAnsi"/>
          <w:color w:val="002060"/>
        </w:rPr>
        <w:t xml:space="preserve">completion of the </w:t>
      </w:r>
      <w:r w:rsidR="00B249F0">
        <w:rPr>
          <w:rFonts w:eastAsia="Times New Roman" w:cstheme="minorHAnsi"/>
          <w:color w:val="002060"/>
        </w:rPr>
        <w:t>award</w:t>
      </w:r>
      <w:r>
        <w:rPr>
          <w:rFonts w:eastAsia="Times New Roman" w:cstheme="minorHAnsi"/>
          <w:color w:val="002060"/>
        </w:rPr>
        <w:t>ed project</w:t>
      </w:r>
      <w:r w:rsidR="005D1788">
        <w:rPr>
          <w:rFonts w:eastAsia="Times New Roman" w:cstheme="minorHAnsi"/>
          <w:color w:val="002060"/>
        </w:rPr>
        <w:t>.</w:t>
      </w:r>
    </w:p>
    <w:p w14:paraId="460DD21B" w14:textId="77777777" w:rsidR="00AD5BC0" w:rsidRPr="005D1788" w:rsidRDefault="00C52AB3" w:rsidP="00AD5BC0">
      <w:pPr>
        <w:spacing w:after="0"/>
        <w:rPr>
          <w:rFonts w:eastAsia="Times New Roman" w:cstheme="minorHAnsi"/>
          <w:color w:val="002060"/>
        </w:rPr>
      </w:pPr>
      <w:r>
        <w:rPr>
          <w:rFonts w:eastAsia="Times New Roman" w:cstheme="minorHAnsi"/>
          <w:color w:val="002060"/>
        </w:rPr>
        <w:t xml:space="preserve"> </w:t>
      </w:r>
    </w:p>
    <w:p w14:paraId="1B423FE9" w14:textId="77777777" w:rsidR="00A5691B" w:rsidRDefault="00A5691B" w:rsidP="00AD5BC0">
      <w:pPr>
        <w:spacing w:after="0"/>
        <w:rPr>
          <w:rFonts w:cstheme="minorHAnsi"/>
          <w:color w:val="002060"/>
          <w:sz w:val="24"/>
          <w:u w:val="single"/>
        </w:rPr>
      </w:pPr>
      <w:r w:rsidRPr="00AD5BC0">
        <w:rPr>
          <w:rFonts w:cstheme="minorHAnsi"/>
          <w:color w:val="002060"/>
          <w:sz w:val="24"/>
          <w:u w:val="single"/>
        </w:rPr>
        <w:t>Distribution of Recovered Indirect (Facilities and Administrative) Costs</w:t>
      </w:r>
    </w:p>
    <w:p w14:paraId="579A88E9" w14:textId="29C2A3B3" w:rsidR="00902578" w:rsidRPr="00D579CE" w:rsidRDefault="005D1788" w:rsidP="00902578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2060"/>
        </w:rPr>
        <w:t>The School will distribute 20% of the indirect cost</w:t>
      </w:r>
      <w:r w:rsidR="00D21B87">
        <w:rPr>
          <w:rFonts w:cstheme="minorHAnsi"/>
          <w:color w:val="002060"/>
        </w:rPr>
        <w:t>s</w:t>
      </w:r>
      <w:r>
        <w:rPr>
          <w:rFonts w:cstheme="minorHAnsi"/>
          <w:color w:val="002060"/>
        </w:rPr>
        <w:t xml:space="preserve"> </w:t>
      </w:r>
      <w:r w:rsidRPr="00902578">
        <w:rPr>
          <w:rFonts w:cstheme="minorHAnsi"/>
          <w:color w:val="002060"/>
        </w:rPr>
        <w:t xml:space="preserve">recovered from the University </w:t>
      </w:r>
      <w:r w:rsidR="00D21B87" w:rsidRPr="00902578">
        <w:rPr>
          <w:rFonts w:cstheme="minorHAnsi"/>
          <w:color w:val="002060"/>
        </w:rPr>
        <w:t>f</w:t>
      </w:r>
      <w:r w:rsidR="00FB6886" w:rsidRPr="00902578">
        <w:rPr>
          <w:rFonts w:cstheme="minorHAnsi"/>
          <w:color w:val="002060"/>
        </w:rPr>
        <w:t xml:space="preserve">rom the prior fiscal year by </w:t>
      </w:r>
      <w:r w:rsidR="00D21B87" w:rsidRPr="00902578">
        <w:rPr>
          <w:rFonts w:cstheme="minorHAnsi"/>
          <w:color w:val="002060"/>
        </w:rPr>
        <w:t>the start of the fall term</w:t>
      </w:r>
      <w:r w:rsidRPr="00902578">
        <w:rPr>
          <w:rFonts w:cstheme="minorHAnsi"/>
          <w:color w:val="002060"/>
        </w:rPr>
        <w:t>.</w:t>
      </w:r>
      <w:r w:rsidR="00FB6886" w:rsidRPr="00902578">
        <w:rPr>
          <w:rFonts w:cstheme="minorHAnsi"/>
          <w:color w:val="002060"/>
        </w:rPr>
        <w:t xml:space="preserve">  </w:t>
      </w:r>
      <w:r w:rsidRPr="00902578">
        <w:rPr>
          <w:rFonts w:cstheme="minorHAnsi"/>
          <w:color w:val="002060"/>
        </w:rPr>
        <w:t xml:space="preserve">Funds will be transferred from the School into the Faculty Development </w:t>
      </w:r>
      <w:r w:rsidR="00C348B1" w:rsidRPr="00902578">
        <w:rPr>
          <w:rFonts w:cstheme="minorHAnsi"/>
          <w:color w:val="002060"/>
        </w:rPr>
        <w:t xml:space="preserve">Funds (FDFs) of eligible </w:t>
      </w:r>
      <w:r w:rsidR="005F3550">
        <w:rPr>
          <w:rFonts w:cstheme="minorHAnsi"/>
          <w:color w:val="002060"/>
        </w:rPr>
        <w:t>Weitzman</w:t>
      </w:r>
      <w:r w:rsidR="00C348B1" w:rsidRPr="00902578">
        <w:rPr>
          <w:rFonts w:cstheme="minorHAnsi"/>
          <w:color w:val="002060"/>
        </w:rPr>
        <w:t xml:space="preserve"> faculty</w:t>
      </w:r>
      <w:r w:rsidR="00D21B87" w:rsidRPr="00902578">
        <w:rPr>
          <w:rFonts w:cstheme="minorHAnsi"/>
          <w:color w:val="002060"/>
        </w:rPr>
        <w:t>.</w:t>
      </w:r>
      <w:r w:rsidR="0006015A" w:rsidRPr="00902578">
        <w:rPr>
          <w:rFonts w:cstheme="minorHAnsi"/>
          <w:color w:val="002060"/>
        </w:rPr>
        <w:t xml:space="preserve">  </w:t>
      </w:r>
      <w:r w:rsidR="00902578" w:rsidRPr="00902578">
        <w:rPr>
          <w:rFonts w:cstheme="minorHAnsi"/>
          <w:color w:val="002060"/>
        </w:rPr>
        <w:t>FDF guidelines and procedures apply to these funds with the addition that recovered costs can be used for the purchase of computers and equipment.</w:t>
      </w:r>
    </w:p>
    <w:p w14:paraId="5E83467B" w14:textId="77777777" w:rsidR="004668A3" w:rsidRDefault="004668A3" w:rsidP="00AD5BC0">
      <w:pPr>
        <w:spacing w:after="0"/>
        <w:rPr>
          <w:rFonts w:cstheme="minorHAnsi"/>
          <w:color w:val="002060"/>
        </w:rPr>
      </w:pPr>
    </w:p>
    <w:p w14:paraId="6D33D5D7" w14:textId="77777777" w:rsidR="004668A3" w:rsidRDefault="004668A3" w:rsidP="00AD5BC0">
      <w:pPr>
        <w:spacing w:after="0"/>
        <w:rPr>
          <w:rFonts w:cstheme="minorHAnsi"/>
          <w:color w:val="002060"/>
        </w:rPr>
      </w:pPr>
    </w:p>
    <w:p w14:paraId="789F8E4A" w14:textId="77777777" w:rsidR="00786857" w:rsidRPr="004668A3" w:rsidRDefault="00666ED4" w:rsidP="00AD5BC0">
      <w:pPr>
        <w:spacing w:after="0"/>
        <w:rPr>
          <w:rFonts w:cstheme="minorHAnsi"/>
          <w:color w:val="002060"/>
          <w:sz w:val="20"/>
        </w:rPr>
      </w:pPr>
      <w:r w:rsidRPr="00666ED4">
        <w:rPr>
          <w:rFonts w:cstheme="minorHAnsi"/>
          <w:color w:val="002060"/>
          <w:sz w:val="20"/>
          <w:vertAlign w:val="superscript"/>
        </w:rPr>
        <w:t>*</w:t>
      </w:r>
      <w:r w:rsidR="000C77E4" w:rsidRPr="004668A3">
        <w:rPr>
          <w:rFonts w:cstheme="minorHAnsi"/>
          <w:color w:val="002060"/>
          <w:sz w:val="20"/>
        </w:rPr>
        <w:t>The School reserves the right to review the indirect cost recovery</w:t>
      </w:r>
      <w:r w:rsidR="00D23ADB" w:rsidRPr="004668A3">
        <w:rPr>
          <w:rFonts w:cstheme="minorHAnsi"/>
          <w:color w:val="002060"/>
          <w:sz w:val="20"/>
        </w:rPr>
        <w:t xml:space="preserve"> faculty</w:t>
      </w:r>
      <w:r w:rsidR="000C77E4" w:rsidRPr="004668A3">
        <w:rPr>
          <w:rFonts w:cstheme="minorHAnsi"/>
          <w:color w:val="002060"/>
          <w:sz w:val="20"/>
        </w:rPr>
        <w:t xml:space="preserve"> allocation policy </w:t>
      </w:r>
      <w:r w:rsidR="00D23ADB" w:rsidRPr="004668A3">
        <w:rPr>
          <w:rFonts w:cstheme="minorHAnsi"/>
          <w:color w:val="002060"/>
          <w:sz w:val="20"/>
        </w:rPr>
        <w:t>annually with the Dean and the research committee and</w:t>
      </w:r>
      <w:r w:rsidR="00035BCF" w:rsidRPr="004668A3">
        <w:rPr>
          <w:rFonts w:cstheme="minorHAnsi"/>
          <w:color w:val="002060"/>
          <w:sz w:val="20"/>
        </w:rPr>
        <w:t xml:space="preserve"> to make any necessary adjustments to the amount of indirect costs recovered from the </w:t>
      </w:r>
      <w:r w:rsidR="00871014" w:rsidRPr="004668A3">
        <w:rPr>
          <w:rFonts w:cstheme="minorHAnsi"/>
          <w:color w:val="002060"/>
          <w:sz w:val="20"/>
        </w:rPr>
        <w:t>Universit</w:t>
      </w:r>
      <w:r w:rsidR="00035BCF" w:rsidRPr="004668A3">
        <w:rPr>
          <w:rFonts w:cstheme="minorHAnsi"/>
          <w:color w:val="002060"/>
          <w:sz w:val="20"/>
        </w:rPr>
        <w:t>y.</w:t>
      </w:r>
    </w:p>
    <w:sectPr w:rsidR="00786857" w:rsidRPr="004668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122CC" w14:textId="77777777" w:rsidR="00D63095" w:rsidRDefault="00D63095" w:rsidP="004E58AC">
      <w:pPr>
        <w:spacing w:after="0" w:line="240" w:lineRule="auto"/>
      </w:pPr>
      <w:r>
        <w:separator/>
      </w:r>
    </w:p>
  </w:endnote>
  <w:endnote w:type="continuationSeparator" w:id="0">
    <w:p w14:paraId="709F4B73" w14:textId="77777777" w:rsidR="00D63095" w:rsidRDefault="00D63095" w:rsidP="004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2ADE" w14:textId="77777777" w:rsidR="004E58AC" w:rsidRPr="004E58AC" w:rsidRDefault="004E58AC" w:rsidP="004E58AC">
    <w:pPr>
      <w:pStyle w:val="Footer"/>
      <w:jc w:val="right"/>
      <w:rPr>
        <w:color w:val="002060"/>
      </w:rPr>
    </w:pPr>
    <w:r>
      <w:rPr>
        <w:color w:val="002060"/>
      </w:rPr>
      <w:tab/>
      <w:t xml:space="preserve"> </w:t>
    </w:r>
    <w:r w:rsidRPr="004E58AC">
      <w:rPr>
        <w:color w:val="002060"/>
        <w:sz w:val="18"/>
      </w:rPr>
      <w:t>Adopted by the Research Committee – 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6232" w14:textId="77777777" w:rsidR="00D63095" w:rsidRDefault="00D63095" w:rsidP="004E58AC">
      <w:pPr>
        <w:spacing w:after="0" w:line="240" w:lineRule="auto"/>
      </w:pPr>
      <w:r>
        <w:separator/>
      </w:r>
    </w:p>
  </w:footnote>
  <w:footnote w:type="continuationSeparator" w:id="0">
    <w:p w14:paraId="3F1F31C2" w14:textId="77777777" w:rsidR="00D63095" w:rsidRDefault="00D63095" w:rsidP="004E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489"/>
    <w:multiLevelType w:val="hybridMultilevel"/>
    <w:tmpl w:val="22FEB100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258"/>
    <w:multiLevelType w:val="multilevel"/>
    <w:tmpl w:val="6D26C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EE3A4B"/>
    <w:multiLevelType w:val="hybridMultilevel"/>
    <w:tmpl w:val="A684872E"/>
    <w:lvl w:ilvl="0" w:tplc="520E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D1971"/>
    <w:multiLevelType w:val="hybridMultilevel"/>
    <w:tmpl w:val="5794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FC8"/>
    <w:multiLevelType w:val="hybridMultilevel"/>
    <w:tmpl w:val="10167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31AB5"/>
    <w:multiLevelType w:val="hybridMultilevel"/>
    <w:tmpl w:val="B2E0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42A88"/>
    <w:multiLevelType w:val="multilevel"/>
    <w:tmpl w:val="6C9C1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BB32AF"/>
    <w:multiLevelType w:val="hybridMultilevel"/>
    <w:tmpl w:val="6A5EFD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71932"/>
    <w:multiLevelType w:val="hybridMultilevel"/>
    <w:tmpl w:val="F0D857BC"/>
    <w:lvl w:ilvl="0" w:tplc="1DDE1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403"/>
    <w:multiLevelType w:val="hybridMultilevel"/>
    <w:tmpl w:val="CC26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E5BE8"/>
    <w:multiLevelType w:val="hybridMultilevel"/>
    <w:tmpl w:val="8BD6F356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37BAB"/>
    <w:multiLevelType w:val="hybridMultilevel"/>
    <w:tmpl w:val="2F38EC0E"/>
    <w:lvl w:ilvl="0" w:tplc="42D69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CC4"/>
    <w:multiLevelType w:val="hybridMultilevel"/>
    <w:tmpl w:val="2514C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601FF"/>
    <w:multiLevelType w:val="hybridMultilevel"/>
    <w:tmpl w:val="B8925252"/>
    <w:lvl w:ilvl="0" w:tplc="B950D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E0BA5"/>
    <w:multiLevelType w:val="hybridMultilevel"/>
    <w:tmpl w:val="BB367B6A"/>
    <w:lvl w:ilvl="0" w:tplc="15140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2C5134"/>
    <w:multiLevelType w:val="hybridMultilevel"/>
    <w:tmpl w:val="57AA8400"/>
    <w:lvl w:ilvl="0" w:tplc="847AC1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05199"/>
    <w:multiLevelType w:val="hybridMultilevel"/>
    <w:tmpl w:val="4F2492C0"/>
    <w:lvl w:ilvl="0" w:tplc="D56C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767BF"/>
    <w:multiLevelType w:val="hybridMultilevel"/>
    <w:tmpl w:val="C4404CAC"/>
    <w:lvl w:ilvl="0" w:tplc="F4702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EB5C6E"/>
    <w:multiLevelType w:val="hybridMultilevel"/>
    <w:tmpl w:val="5178ED10"/>
    <w:lvl w:ilvl="0" w:tplc="D4E0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4247A"/>
    <w:multiLevelType w:val="hybridMultilevel"/>
    <w:tmpl w:val="5A6080A8"/>
    <w:lvl w:ilvl="0" w:tplc="13284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993DBD"/>
    <w:multiLevelType w:val="hybridMultilevel"/>
    <w:tmpl w:val="625AA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33CB0"/>
    <w:multiLevelType w:val="hybridMultilevel"/>
    <w:tmpl w:val="C27463E0"/>
    <w:lvl w:ilvl="0" w:tplc="F17A9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C080B"/>
    <w:multiLevelType w:val="hybridMultilevel"/>
    <w:tmpl w:val="BB76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33C47"/>
    <w:multiLevelType w:val="hybridMultilevel"/>
    <w:tmpl w:val="4122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A0963"/>
    <w:multiLevelType w:val="hybridMultilevel"/>
    <w:tmpl w:val="7744F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E714F5"/>
    <w:multiLevelType w:val="hybridMultilevel"/>
    <w:tmpl w:val="7A70B262"/>
    <w:lvl w:ilvl="0" w:tplc="C9983F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65D58"/>
    <w:multiLevelType w:val="hybridMultilevel"/>
    <w:tmpl w:val="9A1E0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37DD4"/>
    <w:multiLevelType w:val="hybridMultilevel"/>
    <w:tmpl w:val="E8AA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D116E"/>
    <w:multiLevelType w:val="hybridMultilevel"/>
    <w:tmpl w:val="A36CEC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2"/>
  </w:num>
  <w:num w:numId="5">
    <w:abstractNumId w:val="11"/>
  </w:num>
  <w:num w:numId="6">
    <w:abstractNumId w:val="25"/>
  </w:num>
  <w:num w:numId="7">
    <w:abstractNumId w:val="3"/>
  </w:num>
  <w:num w:numId="8">
    <w:abstractNumId w:val="22"/>
  </w:num>
  <w:num w:numId="9">
    <w:abstractNumId w:val="21"/>
  </w:num>
  <w:num w:numId="10">
    <w:abstractNumId w:val="13"/>
  </w:num>
  <w:num w:numId="11">
    <w:abstractNumId w:val="2"/>
  </w:num>
  <w:num w:numId="12">
    <w:abstractNumId w:val="23"/>
  </w:num>
  <w:num w:numId="13">
    <w:abstractNumId w:val="7"/>
  </w:num>
  <w:num w:numId="14">
    <w:abstractNumId w:val="10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9"/>
  </w:num>
  <w:num w:numId="20">
    <w:abstractNumId w:val="28"/>
  </w:num>
  <w:num w:numId="21">
    <w:abstractNumId w:val="24"/>
  </w:num>
  <w:num w:numId="22">
    <w:abstractNumId w:val="26"/>
  </w:num>
  <w:num w:numId="23">
    <w:abstractNumId w:val="17"/>
  </w:num>
  <w:num w:numId="24">
    <w:abstractNumId w:val="27"/>
  </w:num>
  <w:num w:numId="25">
    <w:abstractNumId w:val="5"/>
  </w:num>
  <w:num w:numId="26">
    <w:abstractNumId w:val="15"/>
  </w:num>
  <w:num w:numId="27">
    <w:abstractNumId w:val="14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A5"/>
    <w:rsid w:val="00000091"/>
    <w:rsid w:val="00001FC9"/>
    <w:rsid w:val="000259A8"/>
    <w:rsid w:val="00032542"/>
    <w:rsid w:val="000332F7"/>
    <w:rsid w:val="00035BCF"/>
    <w:rsid w:val="000376F6"/>
    <w:rsid w:val="000435BD"/>
    <w:rsid w:val="0006015A"/>
    <w:rsid w:val="00072E93"/>
    <w:rsid w:val="000813A6"/>
    <w:rsid w:val="00091230"/>
    <w:rsid w:val="000A6677"/>
    <w:rsid w:val="000A7F73"/>
    <w:rsid w:val="000C77E4"/>
    <w:rsid w:val="000D0582"/>
    <w:rsid w:val="000D2672"/>
    <w:rsid w:val="00112AD9"/>
    <w:rsid w:val="00115DC9"/>
    <w:rsid w:val="001424B5"/>
    <w:rsid w:val="001448A8"/>
    <w:rsid w:val="00147A65"/>
    <w:rsid w:val="00151AEE"/>
    <w:rsid w:val="00170E25"/>
    <w:rsid w:val="00174EF5"/>
    <w:rsid w:val="001860BF"/>
    <w:rsid w:val="0019672F"/>
    <w:rsid w:val="001A628E"/>
    <w:rsid w:val="001C07C8"/>
    <w:rsid w:val="001C3197"/>
    <w:rsid w:val="001C3CFA"/>
    <w:rsid w:val="001C43A5"/>
    <w:rsid w:val="001C56FD"/>
    <w:rsid w:val="001C6FAD"/>
    <w:rsid w:val="001D3622"/>
    <w:rsid w:val="001E107F"/>
    <w:rsid w:val="001E5F94"/>
    <w:rsid w:val="001E7C42"/>
    <w:rsid w:val="001F0845"/>
    <w:rsid w:val="001F4BF0"/>
    <w:rsid w:val="001F521B"/>
    <w:rsid w:val="00204A79"/>
    <w:rsid w:val="0020524C"/>
    <w:rsid w:val="0021203C"/>
    <w:rsid w:val="00233940"/>
    <w:rsid w:val="0024248B"/>
    <w:rsid w:val="00261321"/>
    <w:rsid w:val="002725F5"/>
    <w:rsid w:val="00272839"/>
    <w:rsid w:val="002844B8"/>
    <w:rsid w:val="00290F32"/>
    <w:rsid w:val="002945AF"/>
    <w:rsid w:val="002A53D0"/>
    <w:rsid w:val="002A670F"/>
    <w:rsid w:val="002B496A"/>
    <w:rsid w:val="002C6661"/>
    <w:rsid w:val="002D5295"/>
    <w:rsid w:val="002F6BB8"/>
    <w:rsid w:val="00316EB3"/>
    <w:rsid w:val="00350FA0"/>
    <w:rsid w:val="00352A76"/>
    <w:rsid w:val="00356360"/>
    <w:rsid w:val="00357631"/>
    <w:rsid w:val="00376065"/>
    <w:rsid w:val="00376566"/>
    <w:rsid w:val="003853AB"/>
    <w:rsid w:val="00391C26"/>
    <w:rsid w:val="00397486"/>
    <w:rsid w:val="003C0DA2"/>
    <w:rsid w:val="003D34EE"/>
    <w:rsid w:val="003D5AB0"/>
    <w:rsid w:val="003D63F6"/>
    <w:rsid w:val="003D7954"/>
    <w:rsid w:val="003E5ECF"/>
    <w:rsid w:val="003F429A"/>
    <w:rsid w:val="0040262B"/>
    <w:rsid w:val="00412375"/>
    <w:rsid w:val="00414F96"/>
    <w:rsid w:val="00422A5B"/>
    <w:rsid w:val="00434DEE"/>
    <w:rsid w:val="00440BE5"/>
    <w:rsid w:val="004433C5"/>
    <w:rsid w:val="004610B8"/>
    <w:rsid w:val="00465802"/>
    <w:rsid w:val="004668A3"/>
    <w:rsid w:val="004901D8"/>
    <w:rsid w:val="004908DA"/>
    <w:rsid w:val="00491662"/>
    <w:rsid w:val="004958DF"/>
    <w:rsid w:val="004B397E"/>
    <w:rsid w:val="004D59C6"/>
    <w:rsid w:val="004D5E27"/>
    <w:rsid w:val="004E200E"/>
    <w:rsid w:val="004E58AC"/>
    <w:rsid w:val="004F34EF"/>
    <w:rsid w:val="004F7725"/>
    <w:rsid w:val="00511C90"/>
    <w:rsid w:val="0052517D"/>
    <w:rsid w:val="005332BF"/>
    <w:rsid w:val="00574515"/>
    <w:rsid w:val="00584608"/>
    <w:rsid w:val="005B2C9B"/>
    <w:rsid w:val="005B7CCF"/>
    <w:rsid w:val="005D1788"/>
    <w:rsid w:val="005D55F3"/>
    <w:rsid w:val="005D5D33"/>
    <w:rsid w:val="005E2170"/>
    <w:rsid w:val="005E6D48"/>
    <w:rsid w:val="005F0571"/>
    <w:rsid w:val="005F3550"/>
    <w:rsid w:val="005F6A29"/>
    <w:rsid w:val="00606482"/>
    <w:rsid w:val="006131F1"/>
    <w:rsid w:val="00635860"/>
    <w:rsid w:val="006358C7"/>
    <w:rsid w:val="00652073"/>
    <w:rsid w:val="006657AE"/>
    <w:rsid w:val="00666ED4"/>
    <w:rsid w:val="006A3B38"/>
    <w:rsid w:val="006C4028"/>
    <w:rsid w:val="006F6DB8"/>
    <w:rsid w:val="007102D4"/>
    <w:rsid w:val="0071505E"/>
    <w:rsid w:val="007240C9"/>
    <w:rsid w:val="00725F73"/>
    <w:rsid w:val="00743D55"/>
    <w:rsid w:val="00751B57"/>
    <w:rsid w:val="00762CAF"/>
    <w:rsid w:val="00765E32"/>
    <w:rsid w:val="00786857"/>
    <w:rsid w:val="007E41A5"/>
    <w:rsid w:val="00804A4D"/>
    <w:rsid w:val="00833763"/>
    <w:rsid w:val="0083385C"/>
    <w:rsid w:val="0086268F"/>
    <w:rsid w:val="00866C1E"/>
    <w:rsid w:val="00871014"/>
    <w:rsid w:val="0087521D"/>
    <w:rsid w:val="0087581F"/>
    <w:rsid w:val="008837B2"/>
    <w:rsid w:val="00883F31"/>
    <w:rsid w:val="0088759B"/>
    <w:rsid w:val="008964BB"/>
    <w:rsid w:val="008A697D"/>
    <w:rsid w:val="008B1083"/>
    <w:rsid w:val="008B419E"/>
    <w:rsid w:val="008C0E17"/>
    <w:rsid w:val="008C6CE0"/>
    <w:rsid w:val="008D0E38"/>
    <w:rsid w:val="008D1D73"/>
    <w:rsid w:val="008E61D0"/>
    <w:rsid w:val="008F1491"/>
    <w:rsid w:val="008F5175"/>
    <w:rsid w:val="008F775A"/>
    <w:rsid w:val="00902578"/>
    <w:rsid w:val="00935284"/>
    <w:rsid w:val="0094799C"/>
    <w:rsid w:val="009853A7"/>
    <w:rsid w:val="00986CE1"/>
    <w:rsid w:val="009945CB"/>
    <w:rsid w:val="009A11E5"/>
    <w:rsid w:val="009A3091"/>
    <w:rsid w:val="009A52B1"/>
    <w:rsid w:val="009A5AAA"/>
    <w:rsid w:val="009B6584"/>
    <w:rsid w:val="009C0D4A"/>
    <w:rsid w:val="009D046B"/>
    <w:rsid w:val="009D04C7"/>
    <w:rsid w:val="009D61BD"/>
    <w:rsid w:val="009E12AF"/>
    <w:rsid w:val="009F3D14"/>
    <w:rsid w:val="00A0555F"/>
    <w:rsid w:val="00A41FFB"/>
    <w:rsid w:val="00A479FC"/>
    <w:rsid w:val="00A5691B"/>
    <w:rsid w:val="00A715A6"/>
    <w:rsid w:val="00A719E3"/>
    <w:rsid w:val="00A71E4F"/>
    <w:rsid w:val="00A7290E"/>
    <w:rsid w:val="00A8195C"/>
    <w:rsid w:val="00A93547"/>
    <w:rsid w:val="00AA0C88"/>
    <w:rsid w:val="00AA2216"/>
    <w:rsid w:val="00AB237E"/>
    <w:rsid w:val="00AB640D"/>
    <w:rsid w:val="00AB727F"/>
    <w:rsid w:val="00AC5104"/>
    <w:rsid w:val="00AC7FAC"/>
    <w:rsid w:val="00AD2269"/>
    <w:rsid w:val="00AD5BC0"/>
    <w:rsid w:val="00AE4341"/>
    <w:rsid w:val="00AE552A"/>
    <w:rsid w:val="00AF10CE"/>
    <w:rsid w:val="00AF4E58"/>
    <w:rsid w:val="00B13C2D"/>
    <w:rsid w:val="00B2023A"/>
    <w:rsid w:val="00B249F0"/>
    <w:rsid w:val="00B24BCC"/>
    <w:rsid w:val="00B41B80"/>
    <w:rsid w:val="00B46FAE"/>
    <w:rsid w:val="00B62D39"/>
    <w:rsid w:val="00B66435"/>
    <w:rsid w:val="00B737AE"/>
    <w:rsid w:val="00B81259"/>
    <w:rsid w:val="00B86FEA"/>
    <w:rsid w:val="00BA0A6A"/>
    <w:rsid w:val="00BB136B"/>
    <w:rsid w:val="00BB2244"/>
    <w:rsid w:val="00BC2D6C"/>
    <w:rsid w:val="00BC74C6"/>
    <w:rsid w:val="00BD37CE"/>
    <w:rsid w:val="00BF4E9D"/>
    <w:rsid w:val="00BF73B7"/>
    <w:rsid w:val="00C01F33"/>
    <w:rsid w:val="00C05050"/>
    <w:rsid w:val="00C1081A"/>
    <w:rsid w:val="00C12350"/>
    <w:rsid w:val="00C13D27"/>
    <w:rsid w:val="00C17542"/>
    <w:rsid w:val="00C217E5"/>
    <w:rsid w:val="00C348B1"/>
    <w:rsid w:val="00C448D0"/>
    <w:rsid w:val="00C455EF"/>
    <w:rsid w:val="00C5293B"/>
    <w:rsid w:val="00C52AB3"/>
    <w:rsid w:val="00C613F6"/>
    <w:rsid w:val="00C6727F"/>
    <w:rsid w:val="00C67CFC"/>
    <w:rsid w:val="00C870F8"/>
    <w:rsid w:val="00C96E67"/>
    <w:rsid w:val="00CA1748"/>
    <w:rsid w:val="00CA533C"/>
    <w:rsid w:val="00CA5B79"/>
    <w:rsid w:val="00CC2608"/>
    <w:rsid w:val="00CD6B0B"/>
    <w:rsid w:val="00CF3505"/>
    <w:rsid w:val="00D127FE"/>
    <w:rsid w:val="00D21B87"/>
    <w:rsid w:val="00D226E6"/>
    <w:rsid w:val="00D23ADB"/>
    <w:rsid w:val="00D34399"/>
    <w:rsid w:val="00D367FE"/>
    <w:rsid w:val="00D40BC9"/>
    <w:rsid w:val="00D42873"/>
    <w:rsid w:val="00D502E7"/>
    <w:rsid w:val="00D542A6"/>
    <w:rsid w:val="00D57A3B"/>
    <w:rsid w:val="00D63095"/>
    <w:rsid w:val="00D67A2E"/>
    <w:rsid w:val="00D80DD9"/>
    <w:rsid w:val="00D8391A"/>
    <w:rsid w:val="00D83C64"/>
    <w:rsid w:val="00DA32F8"/>
    <w:rsid w:val="00DC16CC"/>
    <w:rsid w:val="00DC45A0"/>
    <w:rsid w:val="00DE3F93"/>
    <w:rsid w:val="00DF5B3D"/>
    <w:rsid w:val="00E00AC8"/>
    <w:rsid w:val="00E030A8"/>
    <w:rsid w:val="00E11022"/>
    <w:rsid w:val="00E14199"/>
    <w:rsid w:val="00E15A5D"/>
    <w:rsid w:val="00E22DDF"/>
    <w:rsid w:val="00E34B8A"/>
    <w:rsid w:val="00E60604"/>
    <w:rsid w:val="00E70510"/>
    <w:rsid w:val="00E7249D"/>
    <w:rsid w:val="00E73D1A"/>
    <w:rsid w:val="00E924C5"/>
    <w:rsid w:val="00EA5FBE"/>
    <w:rsid w:val="00EA7AC1"/>
    <w:rsid w:val="00EB1721"/>
    <w:rsid w:val="00EE2B88"/>
    <w:rsid w:val="00F02B2B"/>
    <w:rsid w:val="00F21AA0"/>
    <w:rsid w:val="00F25F7D"/>
    <w:rsid w:val="00F57FE9"/>
    <w:rsid w:val="00F64D88"/>
    <w:rsid w:val="00F65667"/>
    <w:rsid w:val="00F672D9"/>
    <w:rsid w:val="00F7370E"/>
    <w:rsid w:val="00F845DB"/>
    <w:rsid w:val="00F911AD"/>
    <w:rsid w:val="00FB6886"/>
    <w:rsid w:val="00FD7BC7"/>
    <w:rsid w:val="00FF1F92"/>
    <w:rsid w:val="00FF59F3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EA68"/>
  <w15:docId w15:val="{D7709D90-D751-4013-BAE2-397ED4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0A8"/>
    <w:pPr>
      <w:ind w:left="720"/>
      <w:contextualSpacing/>
    </w:pPr>
  </w:style>
  <w:style w:type="paragraph" w:styleId="NoSpacing">
    <w:name w:val="No Spacing"/>
    <w:uiPriority w:val="1"/>
    <w:qFormat/>
    <w:rsid w:val="002424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4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AC"/>
  </w:style>
  <w:style w:type="paragraph" w:styleId="Footer">
    <w:name w:val="footer"/>
    <w:basedOn w:val="Normal"/>
    <w:link w:val="FooterChar"/>
    <w:uiPriority w:val="99"/>
    <w:unhideWhenUsed/>
    <w:rsid w:val="004E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A000-9A08-478E-A9D3-F25EC43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Hurtig</dc:creator>
  <cp:lastModifiedBy>Dejesus, Jessica</cp:lastModifiedBy>
  <cp:revision>4</cp:revision>
  <cp:lastPrinted>2016-05-02T13:18:00Z</cp:lastPrinted>
  <dcterms:created xsi:type="dcterms:W3CDTF">2016-10-25T13:29:00Z</dcterms:created>
  <dcterms:modified xsi:type="dcterms:W3CDTF">2021-02-11T16:40:00Z</dcterms:modified>
</cp:coreProperties>
</file>